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CA3AC"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w:t>
      </w:r>
      <w:proofErr w:type="gramStart"/>
      <w:r w:rsidRPr="00C557F3">
        <w:rPr>
          <w:rFonts w:ascii="Arial" w:hAnsi="Arial" w:cs="Arial"/>
          <w:bdr w:val="none" w:sz="0" w:space="0" w:color="auto" w:frame="1"/>
        </w:rPr>
        <w:t>come into contact with</w:t>
      </w:r>
      <w:proofErr w:type="gramEnd"/>
      <w:r w:rsidRPr="00C557F3">
        <w:rPr>
          <w:rFonts w:ascii="Arial" w:hAnsi="Arial" w:cs="Arial"/>
          <w:bdr w:val="none" w:sz="0" w:space="0" w:color="auto" w:frame="1"/>
        </w:rPr>
        <w:t xml:space="preserve"> the organisation, including prospective candidates and job applicants, are treated fairly, with dignity and respect for human rights. SPS is committed to advancing equality of opportunity in recruitment and selection, regardless of age, disability, race, </w:t>
      </w:r>
      <w:proofErr w:type="gramStart"/>
      <w:r w:rsidRPr="00C557F3">
        <w:rPr>
          <w:rFonts w:ascii="Arial" w:hAnsi="Arial" w:cs="Arial"/>
          <w:bdr w:val="none" w:sz="0" w:space="0" w:color="auto" w:frame="1"/>
        </w:rPr>
        <w:t>religion</w:t>
      </w:r>
      <w:proofErr w:type="gramEnd"/>
      <w:r w:rsidRPr="00C557F3">
        <w:rPr>
          <w:rFonts w:ascii="Arial" w:hAnsi="Arial" w:cs="Arial"/>
          <w:bdr w:val="none" w:sz="0" w:space="0" w:color="auto" w:frame="1"/>
        </w:rPr>
        <w:t xml:space="preserve">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SPS is committed to making reasonable adjustments for disabled job applicants at all stages in the recruitment process. A disabled applicant’s suitability for a post will be considered, </w:t>
      </w:r>
      <w:proofErr w:type="gramStart"/>
      <w:r w:rsidRPr="00C557F3">
        <w:rPr>
          <w:rFonts w:ascii="Arial" w:hAnsi="Arial" w:cs="Arial"/>
          <w:bdr w:val="none" w:sz="0" w:space="0" w:color="auto" w:frame="1"/>
        </w:rPr>
        <w:t>taking into account</w:t>
      </w:r>
      <w:proofErr w:type="gramEnd"/>
      <w:r w:rsidRPr="00C557F3">
        <w:rPr>
          <w:rFonts w:ascii="Arial" w:hAnsi="Arial" w:cs="Arial"/>
          <w:bdr w:val="none" w:sz="0" w:space="0" w:color="auto" w:frame="1"/>
        </w:rPr>
        <w:t xml:space="preserve">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w:t>
      </w:r>
      <w:proofErr w:type="gramStart"/>
      <w:r w:rsidRPr="00CB0EC5">
        <w:rPr>
          <w:rFonts w:ascii="Arial" w:hAnsi="Arial" w:cs="Arial"/>
        </w:rPr>
        <w:t>during the course of</w:t>
      </w:r>
      <w:proofErr w:type="gramEnd"/>
      <w:r w:rsidRPr="00CB0EC5">
        <w:rPr>
          <w:rFonts w:ascii="Arial" w:hAnsi="Arial" w:cs="Arial"/>
        </w:rPr>
        <w:t xml:space="preserve"> your employment, should you be successful in securing a post. Please ensure that you notify us of any reasonable </w:t>
      </w:r>
      <w:proofErr w:type="gramStart"/>
      <w:r w:rsidRPr="00CB0EC5">
        <w:rPr>
          <w:rFonts w:ascii="Arial" w:hAnsi="Arial" w:cs="Arial"/>
        </w:rPr>
        <w:t>adjustments</w:t>
      </w:r>
      <w:proofErr w:type="gramEnd"/>
      <w:r w:rsidRPr="00CB0EC5">
        <w:rPr>
          <w:rFonts w:ascii="Arial" w:hAnsi="Arial" w:cs="Arial"/>
        </w:rPr>
        <w:t xml:space="preserve">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w:t>
      </w:r>
      <w:proofErr w:type="gramStart"/>
      <w:r w:rsidRPr="00CB0EC5">
        <w:rPr>
          <w:rFonts w:ascii="Arial" w:hAnsi="Arial" w:cs="Arial"/>
          <w:lang w:eastAsia="en-GB"/>
        </w:rPr>
        <w:t>however</w:t>
      </w:r>
      <w:proofErr w:type="gramEnd"/>
      <w:r w:rsidRPr="00CB0EC5">
        <w:rPr>
          <w:rFonts w:ascii="Arial" w:hAnsi="Arial" w:cs="Arial"/>
          <w:lang w:eastAsia="en-GB"/>
        </w:rPr>
        <w:t xml:space="preserve">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 xml:space="preserve">We recognise the importance of flexibility and personal choice when it comes to decisions on how, where and when work can be achieved. As such, our journey to hybrid working has </w:t>
      </w:r>
      <w:r w:rsidRPr="00BC2073">
        <w:rPr>
          <w:rFonts w:ascii="Arial" w:hAnsi="Arial" w:cs="Arial"/>
          <w:iCs/>
        </w:rPr>
        <w:lastRenderedPageBreak/>
        <w:t>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 xml:space="preserve">based on an understanding of business needs, </w:t>
      </w:r>
      <w:proofErr w:type="gramStart"/>
      <w:r w:rsidRPr="00BC2073">
        <w:rPr>
          <w:rStyle w:val="Strong"/>
          <w:rFonts w:ascii="Arial" w:hAnsi="Arial" w:cs="Arial"/>
          <w:b w:val="0"/>
          <w:iCs/>
        </w:rPr>
        <w:t>expectations</w:t>
      </w:r>
      <w:proofErr w:type="gramEnd"/>
      <w:r w:rsidRPr="00BC2073">
        <w:rPr>
          <w:rStyle w:val="Strong"/>
          <w:rFonts w:ascii="Arial" w:hAnsi="Arial" w:cs="Arial"/>
          <w:b w:val="0"/>
          <w:iCs/>
        </w:rPr>
        <w:t xml:space="preserve">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free eyesight tests for staff and where prescription spectacles are needed for </w:t>
      </w:r>
      <w:proofErr w:type="gramStart"/>
      <w:r w:rsidRPr="00CB0EC5">
        <w:rPr>
          <w:rFonts w:ascii="Arial" w:eastAsia="Times New Roman" w:hAnsi="Arial" w:cs="Arial"/>
          <w:color w:val="000000"/>
          <w:lang w:eastAsia="en-GB"/>
        </w:rPr>
        <w:t>particular work</w:t>
      </w:r>
      <w:proofErr w:type="gramEnd"/>
      <w:r w:rsidRPr="00CB0EC5">
        <w:rPr>
          <w:rFonts w:ascii="Arial" w:eastAsia="Times New Roman" w:hAnsi="Arial" w:cs="Arial"/>
          <w:color w:val="000000"/>
          <w:lang w:eastAsia="en-GB"/>
        </w:rPr>
        <w:t xml:space="preserve">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8E6449"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8E6449"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proofErr w:type="gramStart"/>
      <w:r w:rsidRPr="00CB0EC5">
        <w:rPr>
          <w:rFonts w:ascii="Arial" w:hAnsi="Arial" w:cs="Arial"/>
        </w:rPr>
        <w:t>In order to</w:t>
      </w:r>
      <w:proofErr w:type="gramEnd"/>
      <w:r w:rsidRPr="00CB0EC5">
        <w:rPr>
          <w:rFonts w:ascii="Arial" w:hAnsi="Arial" w:cs="Arial"/>
        </w:rPr>
        <w:t xml:space="preserve">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w:t>
      </w:r>
      <w:proofErr w:type="gramStart"/>
      <w:r w:rsidRPr="00CB0EC5">
        <w:rPr>
          <w:rFonts w:ascii="Arial" w:hAnsi="Arial" w:cs="Arial"/>
        </w:rPr>
        <w:t>skills</w:t>
      </w:r>
      <w:proofErr w:type="gramEnd"/>
      <w:r w:rsidRPr="00CB0EC5">
        <w:rPr>
          <w:rFonts w:ascii="Arial" w:hAnsi="Arial" w:cs="Arial"/>
        </w:rPr>
        <w:t xml:space="preserve">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lastRenderedPageBreak/>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 xml:space="preserve">When summarising your </w:t>
      </w:r>
      <w:proofErr w:type="gramStart"/>
      <w:r>
        <w:rPr>
          <w:rFonts w:ascii="Arial" w:hAnsi="Arial" w:cs="Arial"/>
        </w:rPr>
        <w:t>experience</w:t>
      </w:r>
      <w:proofErr w:type="gramEnd"/>
      <w:r>
        <w:rPr>
          <w:rFonts w:ascii="Arial" w:hAnsi="Arial" w:cs="Arial"/>
        </w:rPr>
        <w:t xml:space="preserv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You will be asked to provide specific </w:t>
      </w:r>
      <w:proofErr w:type="gramStart"/>
      <w:r w:rsidRPr="00CB0EC5">
        <w:rPr>
          <w:rFonts w:ascii="Arial" w:hAnsi="Arial" w:cs="Arial"/>
        </w:rPr>
        <w:t>evidence based</w:t>
      </w:r>
      <w:proofErr w:type="gramEnd"/>
      <w:r w:rsidRPr="00CB0EC5">
        <w:rPr>
          <w:rFonts w:ascii="Arial" w:hAnsi="Arial" w:cs="Arial"/>
        </w:rPr>
        <w:t xml:space="preserve">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w:t>
      </w:r>
      <w:proofErr w:type="gramStart"/>
      <w:r w:rsidRPr="00CB0EC5">
        <w:rPr>
          <w:rFonts w:ascii="Arial" w:hAnsi="Arial" w:cs="Arial"/>
        </w:rPr>
        <w:t>relates</w:t>
      </w:r>
      <w:proofErr w:type="gramEnd"/>
      <w:r w:rsidRPr="00CB0EC5">
        <w:rPr>
          <w:rFonts w:ascii="Arial" w:hAnsi="Arial" w:cs="Arial"/>
        </w:rPr>
        <w:t xml:space="preserve">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lastRenderedPageBreak/>
        <w:t xml:space="preserve">Consider how you structure your </w:t>
      </w:r>
      <w:proofErr w:type="gramStart"/>
      <w:r w:rsidRPr="00CB0EC5">
        <w:rPr>
          <w:rFonts w:ascii="Arial" w:hAnsi="Arial" w:cs="Arial"/>
        </w:rPr>
        <w:t>responses,</w:t>
      </w:r>
      <w:proofErr w:type="gramEnd"/>
      <w:r w:rsidRPr="00CB0EC5">
        <w:rPr>
          <w:rFonts w:ascii="Arial" w:hAnsi="Arial" w:cs="Arial"/>
        </w:rPr>
        <w:t xml:space="preserve">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t>
      </w:r>
      <w:proofErr w:type="gramStart"/>
      <w:r w:rsidRPr="00CB0EC5">
        <w:rPr>
          <w:rFonts w:ascii="Arial" w:hAnsi="Arial" w:cs="Arial"/>
        </w:rPr>
        <w:t>whether or not</w:t>
      </w:r>
      <w:proofErr w:type="gramEnd"/>
      <w:r w:rsidRPr="00CB0EC5">
        <w:rPr>
          <w:rFonts w:ascii="Arial" w:hAnsi="Arial" w:cs="Arial"/>
        </w:rPr>
        <w:t xml:space="preserve">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w:t>
      </w:r>
      <w:proofErr w:type="gramStart"/>
      <w:r w:rsidR="00340533" w:rsidRPr="00CB0EC5">
        <w:rPr>
          <w:rFonts w:ascii="Arial" w:hAnsi="Arial" w:cs="Arial"/>
          <w:sz w:val="22"/>
          <w:szCs w:val="22"/>
        </w:rPr>
        <w:t>interests;</w:t>
      </w:r>
      <w:proofErr w:type="gramEnd"/>
      <w:r w:rsidR="00340533" w:rsidRPr="00CB0EC5">
        <w:rPr>
          <w:rFonts w:ascii="Arial" w:hAnsi="Arial" w:cs="Arial"/>
          <w:sz w:val="22"/>
          <w:szCs w:val="22"/>
        </w:rPr>
        <w:t xml:space="preserve">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w:t>
      </w:r>
      <w:proofErr w:type="gramStart"/>
      <w:r w:rsidR="00340533" w:rsidRPr="00CB0EC5">
        <w:rPr>
          <w:rFonts w:ascii="Arial" w:hAnsi="Arial" w:cs="Arial"/>
          <w:sz w:val="22"/>
          <w:szCs w:val="22"/>
        </w:rPr>
        <w:t>open;</w:t>
      </w:r>
      <w:proofErr w:type="gramEnd"/>
      <w:r w:rsidR="00340533" w:rsidRPr="00CB0EC5">
        <w:rPr>
          <w:rFonts w:ascii="Arial" w:hAnsi="Arial" w:cs="Arial"/>
          <w:sz w:val="22"/>
          <w:szCs w:val="22"/>
        </w:rPr>
        <w:t xml:space="preserve">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w:t>
      </w:r>
      <w:proofErr w:type="gramStart"/>
      <w:r w:rsidRPr="00CB0EC5">
        <w:rPr>
          <w:rFonts w:ascii="Arial" w:hAnsi="Arial" w:cs="Arial"/>
          <w:sz w:val="22"/>
          <w:szCs w:val="22"/>
        </w:rPr>
        <w:t>on the basis of</w:t>
      </w:r>
      <w:proofErr w:type="gramEnd"/>
      <w:r w:rsidRPr="00CB0EC5">
        <w:rPr>
          <w:rFonts w:ascii="Arial" w:hAnsi="Arial" w:cs="Arial"/>
          <w:sz w:val="22"/>
          <w:szCs w:val="22"/>
        </w:rPr>
        <w:t xml:space="preserve">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387DC402" w:rsidR="005250B5" w:rsidRDefault="005250B5">
        <w:pPr>
          <w:pStyle w:val="Footer"/>
          <w:jc w:val="right"/>
        </w:pPr>
        <w:r>
          <w:fldChar w:fldCharType="begin"/>
        </w:r>
        <w:r>
          <w:instrText xml:space="preserve"> PAGE   \* MERGEFORMAT </w:instrText>
        </w:r>
        <w:r>
          <w:fldChar w:fldCharType="separate"/>
        </w:r>
        <w:r w:rsidR="003A1389">
          <w:rPr>
            <w:noProof/>
          </w:rPr>
          <w:t>9</w:t>
        </w:r>
        <w:r>
          <w:rPr>
            <w:noProof/>
          </w:rPr>
          <w:fldChar w:fldCharType="end"/>
        </w:r>
      </w:p>
    </w:sdtContent>
  </w:sdt>
  <w:p w14:paraId="3AEC8999" w14:textId="7E5B8237"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3A1389">
      <w:rPr>
        <w:rFonts w:ascii="Arial" w:hAnsi="Arial" w:cs="Arial"/>
        <w:sz w:val="18"/>
      </w:rPr>
      <w:t>5</w:t>
    </w:r>
    <w:r w:rsidR="005250B5" w:rsidRPr="005250B5">
      <w:rPr>
        <w:rFonts w:ascii="Arial" w:hAnsi="Arial" w:cs="Arial"/>
        <w:sz w:val="18"/>
      </w:rPr>
      <w:t xml:space="preserve"> – </w:t>
    </w:r>
    <w:r w:rsidR="003A1389">
      <w:rPr>
        <w:rFonts w:ascii="Arial" w:hAnsi="Arial" w:cs="Arial"/>
        <w:sz w:val="18"/>
      </w:rPr>
      <w:t>March</w:t>
    </w:r>
    <w:r w:rsidR="005250B5" w:rsidRPr="005250B5">
      <w:rPr>
        <w:rFonts w:ascii="Arial" w:hAnsi="Arial" w:cs="Arial"/>
        <w:sz w:val="18"/>
      </w:rPr>
      <w:t xml:space="preserve"> 20</w:t>
    </w:r>
    <w:r w:rsidR="003A1389">
      <w:rPr>
        <w:rFonts w:ascii="Arial" w:hAnsi="Arial" w:cs="Arial"/>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491068">
    <w:abstractNumId w:val="16"/>
  </w:num>
  <w:num w:numId="2" w16cid:durableId="106702908">
    <w:abstractNumId w:val="15"/>
  </w:num>
  <w:num w:numId="3" w16cid:durableId="1430392487">
    <w:abstractNumId w:val="9"/>
  </w:num>
  <w:num w:numId="4" w16cid:durableId="662902125">
    <w:abstractNumId w:val="3"/>
  </w:num>
  <w:num w:numId="5" w16cid:durableId="2084066612">
    <w:abstractNumId w:val="11"/>
  </w:num>
  <w:num w:numId="6" w16cid:durableId="535656541">
    <w:abstractNumId w:val="13"/>
  </w:num>
  <w:num w:numId="7" w16cid:durableId="415174098">
    <w:abstractNumId w:val="24"/>
  </w:num>
  <w:num w:numId="8" w16cid:durableId="1735424058">
    <w:abstractNumId w:val="4"/>
  </w:num>
  <w:num w:numId="9" w16cid:durableId="94256436">
    <w:abstractNumId w:val="2"/>
  </w:num>
  <w:num w:numId="10" w16cid:durableId="626198415">
    <w:abstractNumId w:val="22"/>
  </w:num>
  <w:num w:numId="11" w16cid:durableId="1078213754">
    <w:abstractNumId w:val="10"/>
  </w:num>
  <w:num w:numId="12" w16cid:durableId="985357400">
    <w:abstractNumId w:val="8"/>
  </w:num>
  <w:num w:numId="13" w16cid:durableId="674459102">
    <w:abstractNumId w:val="0"/>
  </w:num>
  <w:num w:numId="14" w16cid:durableId="216477735">
    <w:abstractNumId w:val="1"/>
  </w:num>
  <w:num w:numId="15" w16cid:durableId="1241211215">
    <w:abstractNumId w:val="17"/>
  </w:num>
  <w:num w:numId="16" w16cid:durableId="250743591">
    <w:abstractNumId w:val="5"/>
  </w:num>
  <w:num w:numId="17" w16cid:durableId="1248491908">
    <w:abstractNumId w:val="23"/>
  </w:num>
  <w:num w:numId="18" w16cid:durableId="1115095899">
    <w:abstractNumId w:val="14"/>
  </w:num>
  <w:num w:numId="19" w16cid:durableId="87432445">
    <w:abstractNumId w:val="6"/>
  </w:num>
  <w:num w:numId="20" w16cid:durableId="1634094228">
    <w:abstractNumId w:val="12"/>
  </w:num>
  <w:num w:numId="21" w16cid:durableId="1476685064">
    <w:abstractNumId w:val="18"/>
  </w:num>
  <w:num w:numId="22" w16cid:durableId="183176093">
    <w:abstractNumId w:val="20"/>
  </w:num>
  <w:num w:numId="23" w16cid:durableId="1712026144">
    <w:abstractNumId w:val="25"/>
  </w:num>
  <w:num w:numId="24" w16cid:durableId="1701011092">
    <w:abstractNumId w:val="19"/>
  </w:num>
  <w:num w:numId="25" w16cid:durableId="1202015255">
    <w:abstractNumId w:val="7"/>
  </w:num>
  <w:num w:numId="26" w16cid:durableId="11426969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9766C"/>
    <w:rsid w:val="00155816"/>
    <w:rsid w:val="00182945"/>
    <w:rsid w:val="001913A4"/>
    <w:rsid w:val="001A3E51"/>
    <w:rsid w:val="00222E68"/>
    <w:rsid w:val="002C0F16"/>
    <w:rsid w:val="00323CC9"/>
    <w:rsid w:val="00340533"/>
    <w:rsid w:val="003534BD"/>
    <w:rsid w:val="00387249"/>
    <w:rsid w:val="003A138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A22C6"/>
    <w:rsid w:val="008E6449"/>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FD0F7-7A65-4CC2-AE6C-69CB240773C1}">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785b3f7e-9e9c-4925-bd72-c89dbab68df3"/>
    <ds:schemaRef ds:uri="http://purl.org/dc/terms/"/>
  </ds:schemaRefs>
</ds:datastoreItem>
</file>

<file path=customXml/itemProps2.xml><?xml version="1.0" encoding="utf-8"?>
<ds:datastoreItem xmlns:ds="http://schemas.openxmlformats.org/officeDocument/2006/customXml" ds:itemID="{B8FD1B23-F2B3-4880-93A6-DF32654E47F7}">
  <ds:schemaRefs>
    <ds:schemaRef ds:uri="http://schemas.openxmlformats.org/officeDocument/2006/bibliography"/>
  </ds:schemaRefs>
</ds:datastoreItem>
</file>

<file path=customXml/itemProps3.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93B1D-0591-46C7-AB52-92EB2F80B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3075</Words>
  <Characters>17533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Erin Matheson</cp:lastModifiedBy>
  <cp:revision>2</cp:revision>
  <dcterms:created xsi:type="dcterms:W3CDTF">2023-05-19T08:09:00Z</dcterms:created>
  <dcterms:modified xsi:type="dcterms:W3CDTF">2023-05-19T08:09:00Z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