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F81D2"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51965C9D"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106BDAE4" w14:textId="22909E25" w:rsidR="0017732F" w:rsidRPr="00AC6F8A" w:rsidRDefault="0017732F" w:rsidP="00AC6F8A">
      <w:pPr>
        <w:jc w:val="center"/>
        <w:rPr>
          <w:rFonts w:ascii="Arial" w:hAnsi="Arial" w:cs="Arial"/>
          <w:b/>
          <w:color w:val="004295"/>
          <w:sz w:val="32"/>
          <w:szCs w:val="40"/>
        </w:rPr>
      </w:pPr>
      <w:r>
        <w:rPr>
          <w:rFonts w:ascii="Arial" w:hAnsi="Arial" w:cs="Arial"/>
          <w:b/>
          <w:color w:val="004295"/>
          <w:sz w:val="32"/>
          <w:szCs w:val="40"/>
        </w:rPr>
        <w:t>HDC/ Immigration Admin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8D7873">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8D7873">
        <w:tc>
          <w:tcPr>
            <w:tcW w:w="9016" w:type="dxa"/>
            <w:gridSpan w:val="2"/>
          </w:tcPr>
          <w:p w14:paraId="2888C7FE" w14:textId="763839BC" w:rsidR="00FB5429" w:rsidRPr="008D7873" w:rsidRDefault="008D7873" w:rsidP="005C2E5B">
            <w:pPr>
              <w:spacing w:before="100" w:beforeAutospacing="1" w:after="100" w:afterAutospacing="1"/>
              <w:jc w:val="both"/>
              <w:rPr>
                <w:rFonts w:cstheme="minorHAnsi"/>
              </w:rPr>
            </w:pPr>
            <w:r w:rsidRPr="008D7873">
              <w:rPr>
                <w:rFonts w:cstheme="minorHAnsi"/>
              </w:rPr>
              <w:t xml:space="preserve">The post holder will provide general administration support and answering the switchboard as required by management.  This role mainly encompasses Home Detention Curfew (HDC) and Immigration administration which involves liaising with relevant external agencies.  </w:t>
            </w:r>
          </w:p>
        </w:tc>
      </w:tr>
      <w:tr w:rsidR="00FB5429" w:rsidRPr="00AC6F8A" w14:paraId="02058642" w14:textId="77777777" w:rsidTr="008D7873">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8D7873">
        <w:tc>
          <w:tcPr>
            <w:tcW w:w="66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351" w:type="dxa"/>
          </w:tcPr>
          <w:p w14:paraId="34AA2AE1" w14:textId="40D2AE5E" w:rsidR="00FB5429" w:rsidRPr="0080526A" w:rsidRDefault="008D7873" w:rsidP="00C43531">
            <w:pPr>
              <w:suppressAutoHyphens/>
              <w:jc w:val="both"/>
              <w:rPr>
                <w:rFonts w:cstheme="minorHAnsi"/>
              </w:rPr>
            </w:pPr>
            <w:r w:rsidRPr="008D7873">
              <w:rPr>
                <w:rFonts w:cstheme="minorHAnsi"/>
              </w:rPr>
              <w:t>To compile a detailed analysis of data to enable Managers to make decisions on individuals eligibility for release on the HDC Scheme in line with Government legislation.</w:t>
            </w:r>
          </w:p>
        </w:tc>
      </w:tr>
      <w:tr w:rsidR="00FB5429" w:rsidRPr="00AC6F8A" w14:paraId="340E836C" w14:textId="77777777" w:rsidTr="008D7873">
        <w:tc>
          <w:tcPr>
            <w:tcW w:w="66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351" w:type="dxa"/>
          </w:tcPr>
          <w:p w14:paraId="12E34659" w14:textId="1AB8132A" w:rsidR="00FB5429" w:rsidRPr="0080526A" w:rsidRDefault="008D7873" w:rsidP="00C43531">
            <w:pPr>
              <w:suppressAutoHyphens/>
              <w:jc w:val="both"/>
              <w:rPr>
                <w:rFonts w:cstheme="minorHAnsi"/>
              </w:rPr>
            </w:pPr>
            <w:r w:rsidRPr="008D7873">
              <w:rPr>
                <w:rFonts w:cstheme="minorHAnsi"/>
              </w:rPr>
              <w:t>To compile detailed, evidenced-based dossiers for individuals, assessing eligibility for release on HDC. This will include application of all statutory criteria.</w:t>
            </w:r>
          </w:p>
        </w:tc>
      </w:tr>
      <w:tr w:rsidR="00FB5429" w:rsidRPr="00AC6F8A" w14:paraId="02596625" w14:textId="77777777" w:rsidTr="008D7873">
        <w:tc>
          <w:tcPr>
            <w:tcW w:w="66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351" w:type="dxa"/>
          </w:tcPr>
          <w:p w14:paraId="3F1ACDE3" w14:textId="5DCE838A" w:rsidR="00FB5429" w:rsidRPr="0080526A" w:rsidRDefault="008D7873" w:rsidP="00C43531">
            <w:pPr>
              <w:suppressAutoHyphens/>
              <w:jc w:val="both"/>
              <w:rPr>
                <w:rFonts w:cstheme="minorHAnsi"/>
              </w:rPr>
            </w:pPr>
            <w:r w:rsidRPr="008D7873">
              <w:rPr>
                <w:rFonts w:cstheme="minorHAnsi"/>
              </w:rPr>
              <w:t>Daily identification of foreign national admissions and completion of applicable documentation advising all relevant authorities.</w:t>
            </w:r>
          </w:p>
        </w:tc>
      </w:tr>
      <w:tr w:rsidR="00FB5429" w:rsidRPr="00AC6F8A" w14:paraId="08BBCC21" w14:textId="77777777" w:rsidTr="008D7873">
        <w:tc>
          <w:tcPr>
            <w:tcW w:w="66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351" w:type="dxa"/>
          </w:tcPr>
          <w:p w14:paraId="01FE02BD" w14:textId="118DE78F" w:rsidR="00FB5429" w:rsidRPr="0080526A" w:rsidRDefault="008D7873" w:rsidP="00C43531">
            <w:pPr>
              <w:suppressAutoHyphens/>
              <w:jc w:val="both"/>
              <w:rPr>
                <w:rFonts w:cstheme="minorHAnsi"/>
              </w:rPr>
            </w:pPr>
            <w:r w:rsidRPr="008D7873">
              <w:rPr>
                <w:rFonts w:cstheme="minorHAnsi"/>
              </w:rPr>
              <w:t>To provide administrative support to Criminal Administration team including answering the switchboard and responding to e-mail enquiries where appropriate.</w:t>
            </w:r>
          </w:p>
        </w:tc>
      </w:tr>
      <w:tr w:rsidR="00FB5429" w:rsidRPr="00AC6F8A" w14:paraId="40DC5BF6" w14:textId="77777777" w:rsidTr="008D7873">
        <w:tc>
          <w:tcPr>
            <w:tcW w:w="66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351" w:type="dxa"/>
          </w:tcPr>
          <w:p w14:paraId="7EF96674" w14:textId="0509BCD3" w:rsidR="00FB5429" w:rsidRPr="0080526A" w:rsidRDefault="008D7873" w:rsidP="00C43531">
            <w:pPr>
              <w:suppressAutoHyphens/>
              <w:jc w:val="both"/>
              <w:rPr>
                <w:rFonts w:cstheme="minorHAnsi"/>
              </w:rPr>
            </w:pPr>
            <w:r w:rsidRPr="008D7873">
              <w:rPr>
                <w:rFonts w:cstheme="minorHAnsi"/>
              </w:rPr>
              <w:t>To carry out any other administrative duties as advised by management.</w:t>
            </w:r>
          </w:p>
        </w:tc>
      </w:tr>
    </w:tbl>
    <w:p w14:paraId="3FE383FC" w14:textId="7E137558" w:rsidR="00FB5429" w:rsidRDefault="00FB5429">
      <w:pPr>
        <w:rPr>
          <w:rFonts w:ascii="Arial" w:hAnsi="Arial" w:cs="Arial"/>
          <w:b/>
          <w:color w:val="1F497D" w:themeColor="text2"/>
          <w:sz w:val="24"/>
        </w:rPr>
      </w:pPr>
    </w:p>
    <w:p w14:paraId="4B89B7EA" w14:textId="77777777" w:rsidR="0017732F" w:rsidRDefault="0017732F">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A1AF602" w:rsidR="005B7DE7" w:rsidRPr="0080526A" w:rsidRDefault="0080526A" w:rsidP="0080526A">
            <w:pPr>
              <w:spacing w:line="240" w:lineRule="auto"/>
              <w:rPr>
                <w:rFonts w:cstheme="minorHAnsi"/>
              </w:rPr>
            </w:pPr>
            <w:r w:rsidRPr="0080526A">
              <w:rPr>
                <w:rFonts w:cstheme="minorHAnsi"/>
              </w:rPr>
              <w:t xml:space="preserve">Minimum of two National 5 (or equivalent) qualifications including English and Mathematics or relevant experience. </w:t>
            </w:r>
          </w:p>
        </w:tc>
        <w:tc>
          <w:tcPr>
            <w:tcW w:w="2410" w:type="dxa"/>
            <w:shd w:val="clear" w:color="auto" w:fill="auto"/>
          </w:tcPr>
          <w:p w14:paraId="0FF3DBCD" w14:textId="575C8ADC" w:rsidR="005B7DE7" w:rsidRPr="0080526A" w:rsidRDefault="0080526A" w:rsidP="005B7DE7">
            <w:pPr>
              <w:spacing w:before="120" w:after="120" w:line="240" w:lineRule="auto"/>
              <w:rPr>
                <w:rFonts w:eastAsia="Cambria" w:cstheme="minorHAnsi"/>
              </w:rPr>
            </w:pPr>
            <w:r w:rsidRPr="0080526A">
              <w:rPr>
                <w:rFonts w:cstheme="minorHAnsi"/>
              </w:rPr>
              <w:t>ESSENTIAL</w:t>
            </w:r>
          </w:p>
        </w:tc>
        <w:tc>
          <w:tcPr>
            <w:tcW w:w="2268" w:type="dxa"/>
            <w:shd w:val="clear" w:color="auto" w:fill="auto"/>
          </w:tcPr>
          <w:p w14:paraId="1943FACD" w14:textId="516F312F" w:rsidR="005B7DE7" w:rsidRPr="00AC6F8A" w:rsidRDefault="0080526A" w:rsidP="00AC6F8A">
            <w:pPr>
              <w:spacing w:before="120" w:after="120" w:line="240" w:lineRule="auto"/>
              <w:rPr>
                <w:rFonts w:ascii="Arial" w:eastAsia="Cambria" w:hAnsi="Arial" w:cs="Arial"/>
              </w:rPr>
            </w:pPr>
            <w:r>
              <w:rPr>
                <w:rFonts w:ascii="Arial" w:eastAsia="Cambria" w:hAnsi="Arial" w:cs="Arial"/>
              </w:rPr>
              <w:t>Initial sift</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80526A" w:rsidRDefault="00D757C8" w:rsidP="00AC6F8A">
            <w:pPr>
              <w:spacing w:before="120" w:after="120" w:line="240" w:lineRule="auto"/>
              <w:rPr>
                <w:rFonts w:eastAsia="Cambria" w:cstheme="minorHAnsi"/>
                <w:b/>
              </w:rPr>
            </w:pPr>
            <w:r w:rsidRPr="0080526A">
              <w:rPr>
                <w:rFonts w:eastAsia="Cambria" w:cstheme="minorHAnsi"/>
                <w:b/>
              </w:rPr>
              <w:t>Experience</w:t>
            </w:r>
          </w:p>
        </w:tc>
      </w:tr>
      <w:tr w:rsidR="005B7DE7" w:rsidRPr="00AC6F8A" w14:paraId="1579EE15" w14:textId="77777777" w:rsidTr="00450364">
        <w:trPr>
          <w:trHeight w:val="846"/>
        </w:trPr>
        <w:tc>
          <w:tcPr>
            <w:tcW w:w="4361" w:type="dxa"/>
            <w:shd w:val="clear" w:color="auto" w:fill="DAEEF3"/>
          </w:tcPr>
          <w:p w14:paraId="3194DDE7" w14:textId="13AC520C" w:rsidR="005B7DE7" w:rsidRPr="0080526A" w:rsidRDefault="008D7873" w:rsidP="0080526A">
            <w:pPr>
              <w:spacing w:line="240" w:lineRule="auto"/>
              <w:rPr>
                <w:rFonts w:cstheme="minorHAnsi"/>
              </w:rPr>
            </w:pPr>
            <w:r w:rsidRPr="008D7873">
              <w:rPr>
                <w:rFonts w:cstheme="minorHAnsi"/>
              </w:rPr>
              <w:t>Competent and experienced in all aspects of administration</w:t>
            </w:r>
            <w:r>
              <w:rPr>
                <w:rFonts w:cstheme="minorHAnsi"/>
              </w:rPr>
              <w:t>.</w:t>
            </w:r>
            <w:r w:rsidRPr="008D7873">
              <w:rPr>
                <w:rFonts w:cstheme="minorHAnsi"/>
              </w:rPr>
              <w:t xml:space="preserve">  </w:t>
            </w:r>
          </w:p>
        </w:tc>
        <w:tc>
          <w:tcPr>
            <w:tcW w:w="2410" w:type="dxa"/>
          </w:tcPr>
          <w:p w14:paraId="3711A2B6" w14:textId="494334AF" w:rsidR="005B7DE7" w:rsidRPr="0080526A" w:rsidRDefault="0080526A" w:rsidP="005B7DE7">
            <w:pPr>
              <w:spacing w:before="120" w:after="120" w:line="240" w:lineRule="auto"/>
              <w:rPr>
                <w:rFonts w:eastAsia="Cambria" w:cstheme="minorHAnsi"/>
              </w:rPr>
            </w:pPr>
            <w:r w:rsidRPr="0080526A">
              <w:rPr>
                <w:rFonts w:cstheme="minorHAnsi"/>
              </w:rPr>
              <w:t>ESSENTIAL</w:t>
            </w:r>
          </w:p>
        </w:tc>
        <w:tc>
          <w:tcPr>
            <w:tcW w:w="2268" w:type="dxa"/>
          </w:tcPr>
          <w:p w14:paraId="0C86410B" w14:textId="6BBF496B" w:rsidR="005B7DE7" w:rsidRPr="00AC6F8A" w:rsidRDefault="0080526A" w:rsidP="005B7DE7">
            <w:pPr>
              <w:spacing w:before="120" w:after="120" w:line="240" w:lineRule="auto"/>
              <w:rPr>
                <w:rFonts w:ascii="Arial" w:eastAsia="Cambria" w:hAnsi="Arial" w:cs="Arial"/>
              </w:rPr>
            </w:pPr>
            <w:r>
              <w:rPr>
                <w:rFonts w:ascii="Arial" w:eastAsia="Cambria" w:hAnsi="Arial" w:cs="Arial"/>
              </w:rPr>
              <w:t>Competency sift and interview</w:t>
            </w:r>
          </w:p>
        </w:tc>
      </w:tr>
      <w:tr w:rsidR="00141899" w:rsidRPr="00AC6F8A" w14:paraId="2F4F538B" w14:textId="77777777" w:rsidTr="00450364">
        <w:trPr>
          <w:trHeight w:val="832"/>
        </w:trPr>
        <w:tc>
          <w:tcPr>
            <w:tcW w:w="4361" w:type="dxa"/>
            <w:shd w:val="clear" w:color="auto" w:fill="DAEEF3"/>
          </w:tcPr>
          <w:p w14:paraId="50146011" w14:textId="35A2EBE5" w:rsidR="00141899" w:rsidRPr="00AC6F8A" w:rsidRDefault="0080526A" w:rsidP="0080526A">
            <w:pPr>
              <w:spacing w:line="240" w:lineRule="auto"/>
              <w:rPr>
                <w:rFonts w:ascii="Arial" w:eastAsia="Cambria" w:hAnsi="Arial" w:cs="Arial"/>
              </w:rPr>
            </w:pPr>
            <w:r w:rsidRPr="0080526A">
              <w:rPr>
                <w:rFonts w:eastAsia="Times New Roman" w:cs="Times New Roman"/>
                <w:lang w:val="en" w:eastAsia="en-GB"/>
              </w:rPr>
              <w:t xml:space="preserve">Competent in the use of all Microsoft Packages.  </w:t>
            </w:r>
          </w:p>
        </w:tc>
        <w:tc>
          <w:tcPr>
            <w:tcW w:w="2410" w:type="dxa"/>
          </w:tcPr>
          <w:p w14:paraId="38B65C45" w14:textId="025F90B4" w:rsidR="00141899" w:rsidRPr="00AC6F8A" w:rsidRDefault="0080526A" w:rsidP="005B7DE7">
            <w:pPr>
              <w:spacing w:before="120" w:after="120" w:line="240" w:lineRule="auto"/>
              <w:rPr>
                <w:rFonts w:ascii="Arial" w:eastAsia="Cambria" w:hAnsi="Arial" w:cs="Arial"/>
              </w:rPr>
            </w:pPr>
            <w:r w:rsidRPr="0080526A">
              <w:rPr>
                <w:rFonts w:eastAsia="Times New Roman" w:cs="Times New Roman"/>
                <w:lang w:val="en" w:eastAsia="en-GB"/>
              </w:rPr>
              <w:t>ESSENTIAL</w:t>
            </w:r>
          </w:p>
        </w:tc>
        <w:tc>
          <w:tcPr>
            <w:tcW w:w="2268" w:type="dxa"/>
          </w:tcPr>
          <w:p w14:paraId="46FE92B7" w14:textId="4B99833A" w:rsidR="00141899"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2D7B1280" w:rsidR="005B7DE7" w:rsidRPr="0080526A" w:rsidRDefault="0080526A" w:rsidP="008D7873">
            <w:pPr>
              <w:spacing w:line="240" w:lineRule="auto"/>
              <w:rPr>
                <w:rFonts w:eastAsia="Times New Roman" w:cstheme="minorHAnsi"/>
                <w:lang w:val="en" w:eastAsia="en-GB"/>
              </w:rPr>
            </w:pPr>
            <w:r w:rsidRPr="0080526A">
              <w:rPr>
                <w:rFonts w:eastAsia="Times New Roman" w:cstheme="minorHAnsi"/>
                <w:lang w:val="en" w:eastAsia="en-GB"/>
              </w:rPr>
              <w:t xml:space="preserve">Excellent communication </w:t>
            </w:r>
            <w:r w:rsidR="008D7873">
              <w:rPr>
                <w:rFonts w:eastAsia="Times New Roman" w:cstheme="minorHAnsi"/>
                <w:lang w:val="en" w:eastAsia="en-GB"/>
              </w:rPr>
              <w:t>both written and verbal</w:t>
            </w:r>
          </w:p>
        </w:tc>
        <w:tc>
          <w:tcPr>
            <w:tcW w:w="2410" w:type="dxa"/>
          </w:tcPr>
          <w:p w14:paraId="663931CC" w14:textId="7BED1DE1" w:rsidR="005B7DE7" w:rsidRPr="0080526A" w:rsidRDefault="0080526A" w:rsidP="005B7DE7">
            <w:pPr>
              <w:spacing w:before="120" w:after="120" w:line="240" w:lineRule="auto"/>
              <w:rPr>
                <w:rFonts w:eastAsia="Cambria" w:cstheme="minorHAnsi"/>
              </w:rPr>
            </w:pPr>
            <w:r w:rsidRPr="0080526A">
              <w:rPr>
                <w:rFonts w:eastAsia="Times New Roman" w:cstheme="minorHAnsi"/>
                <w:lang w:val="en" w:eastAsia="en-GB"/>
              </w:rPr>
              <w:t>ESSENTIAL</w:t>
            </w:r>
          </w:p>
        </w:tc>
        <w:tc>
          <w:tcPr>
            <w:tcW w:w="2268" w:type="dxa"/>
          </w:tcPr>
          <w:p w14:paraId="3B385532" w14:textId="7C0BE3EB" w:rsidR="005B7DE7" w:rsidRPr="00AC6F8A" w:rsidRDefault="0080526A" w:rsidP="00141899">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14:paraId="0E437D4B" w14:textId="77777777" w:rsidTr="00450364">
        <w:trPr>
          <w:trHeight w:val="834"/>
        </w:trPr>
        <w:tc>
          <w:tcPr>
            <w:tcW w:w="4361" w:type="dxa"/>
            <w:shd w:val="clear" w:color="auto" w:fill="DAEEF3"/>
          </w:tcPr>
          <w:p w14:paraId="3AE77C03" w14:textId="09DB07CD" w:rsidR="005B7DE7" w:rsidRPr="0080526A" w:rsidRDefault="0080526A" w:rsidP="0080526A">
            <w:pPr>
              <w:suppressAutoHyphens/>
              <w:spacing w:after="0" w:line="240" w:lineRule="auto"/>
              <w:rPr>
                <w:rFonts w:cstheme="minorHAnsi"/>
              </w:rPr>
            </w:pPr>
            <w:bookmarkStart w:id="0" w:name="_GoBack"/>
            <w:r w:rsidRPr="0080526A">
              <w:rPr>
                <w:rFonts w:cstheme="minorHAnsi"/>
              </w:rPr>
              <w:t xml:space="preserve">Ability to prioritise workload to meet departmental and organisational deadlines.  </w:t>
            </w:r>
            <w:bookmarkEnd w:id="0"/>
          </w:p>
        </w:tc>
        <w:tc>
          <w:tcPr>
            <w:tcW w:w="2410" w:type="dxa"/>
          </w:tcPr>
          <w:p w14:paraId="5D8D5D59" w14:textId="32C6FB4C" w:rsidR="005B7DE7" w:rsidRPr="0080526A" w:rsidRDefault="0080526A" w:rsidP="005B7DE7">
            <w:pPr>
              <w:spacing w:before="120" w:after="120" w:line="240" w:lineRule="auto"/>
              <w:rPr>
                <w:rFonts w:eastAsia="Cambria" w:cstheme="minorHAnsi"/>
              </w:rPr>
            </w:pPr>
            <w:r w:rsidRPr="0080526A">
              <w:rPr>
                <w:rFonts w:cstheme="minorHAnsi"/>
              </w:rPr>
              <w:t>ESSENTIAL</w:t>
            </w:r>
          </w:p>
        </w:tc>
        <w:tc>
          <w:tcPr>
            <w:tcW w:w="2268" w:type="dxa"/>
          </w:tcPr>
          <w:p w14:paraId="13430C81" w14:textId="25D68DFC" w:rsidR="005B7DE7" w:rsidRPr="00AC6F8A" w:rsidRDefault="0080526A" w:rsidP="00141899">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14:paraId="0696C565" w14:textId="77777777" w:rsidTr="00450364">
        <w:trPr>
          <w:trHeight w:val="846"/>
        </w:trPr>
        <w:tc>
          <w:tcPr>
            <w:tcW w:w="4361" w:type="dxa"/>
            <w:shd w:val="clear" w:color="auto" w:fill="DAEEF3"/>
          </w:tcPr>
          <w:p w14:paraId="4B534DC6" w14:textId="54874FA5" w:rsidR="005B7DE7" w:rsidRPr="0080526A" w:rsidRDefault="0080526A" w:rsidP="0080526A">
            <w:pPr>
              <w:spacing w:line="240" w:lineRule="auto"/>
              <w:rPr>
                <w:rFonts w:cstheme="minorHAnsi"/>
              </w:rPr>
            </w:pPr>
            <w:r w:rsidRPr="0080526A">
              <w:rPr>
                <w:rFonts w:cstheme="minorHAnsi"/>
              </w:rPr>
              <w:t xml:space="preserve">Ability to work individually and as part of a team.  </w:t>
            </w:r>
          </w:p>
        </w:tc>
        <w:tc>
          <w:tcPr>
            <w:tcW w:w="2410" w:type="dxa"/>
          </w:tcPr>
          <w:p w14:paraId="55DB7CD2" w14:textId="66075743" w:rsidR="005B7DE7" w:rsidRPr="0080526A" w:rsidRDefault="005B7DE7" w:rsidP="00141899">
            <w:pPr>
              <w:spacing w:before="120" w:after="120" w:line="240" w:lineRule="auto"/>
              <w:rPr>
                <w:rFonts w:eastAsia="Cambria" w:cstheme="minorHAnsi"/>
              </w:rPr>
            </w:pPr>
            <w:r w:rsidRPr="0080526A">
              <w:rPr>
                <w:rFonts w:eastAsia="Cambria" w:cstheme="minorHAnsi"/>
              </w:rPr>
              <w:t xml:space="preserve"> </w:t>
            </w:r>
            <w:r w:rsidR="0080526A" w:rsidRPr="0080526A">
              <w:rPr>
                <w:rFonts w:cstheme="minorHAnsi"/>
              </w:rPr>
              <w:t>ESSENTIAL</w:t>
            </w:r>
          </w:p>
        </w:tc>
        <w:tc>
          <w:tcPr>
            <w:tcW w:w="2268" w:type="dxa"/>
          </w:tcPr>
          <w:p w14:paraId="60506099" w14:textId="6132AF54" w:rsidR="005B7DE7"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14:paraId="70F8CE90" w14:textId="77777777" w:rsidTr="00450364">
        <w:trPr>
          <w:trHeight w:val="844"/>
        </w:trPr>
        <w:tc>
          <w:tcPr>
            <w:tcW w:w="4361" w:type="dxa"/>
            <w:shd w:val="clear" w:color="auto" w:fill="DAEEF3"/>
          </w:tcPr>
          <w:p w14:paraId="0F5230F0" w14:textId="375F0A07" w:rsidR="005B7DE7" w:rsidRPr="0080526A" w:rsidRDefault="0080526A" w:rsidP="0080526A">
            <w:pPr>
              <w:spacing w:line="240" w:lineRule="auto"/>
              <w:rPr>
                <w:rFonts w:cstheme="minorHAnsi"/>
              </w:rPr>
            </w:pPr>
            <w:r w:rsidRPr="0080526A">
              <w:rPr>
                <w:rFonts w:eastAsia="Times New Roman" w:cstheme="minorHAnsi"/>
                <w:lang w:val="en" w:eastAsia="en-GB"/>
              </w:rPr>
              <w:t xml:space="preserve">Good numeracy skills and be able to compare a range of information.  </w:t>
            </w:r>
          </w:p>
        </w:tc>
        <w:tc>
          <w:tcPr>
            <w:tcW w:w="2410" w:type="dxa"/>
          </w:tcPr>
          <w:p w14:paraId="5F2C31D1" w14:textId="54108CCD" w:rsidR="005B7DE7" w:rsidRPr="0080526A" w:rsidRDefault="0080526A" w:rsidP="005B7DE7">
            <w:pPr>
              <w:spacing w:before="120" w:after="120" w:line="240" w:lineRule="auto"/>
              <w:rPr>
                <w:rFonts w:eastAsia="Cambria" w:cstheme="minorHAnsi"/>
              </w:rPr>
            </w:pPr>
            <w:r w:rsidRPr="0080526A">
              <w:rPr>
                <w:rFonts w:eastAsia="Times New Roman" w:cstheme="minorHAnsi"/>
                <w:lang w:val="en" w:eastAsia="en-GB"/>
              </w:rPr>
              <w:t>ESSENTIAL</w:t>
            </w:r>
          </w:p>
        </w:tc>
        <w:tc>
          <w:tcPr>
            <w:tcW w:w="2268" w:type="dxa"/>
          </w:tcPr>
          <w:p w14:paraId="3D7FF578" w14:textId="099DFCBF" w:rsidR="005B7DE7"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548AA65" w:rsidR="00450364" w:rsidRPr="00AC6F8A" w:rsidRDefault="00121D52" w:rsidP="00AC6F8A">
            <w:pPr>
              <w:rPr>
                <w:rFonts w:ascii="Arial" w:hAnsi="Arial" w:cs="Arial"/>
              </w:rPr>
            </w:pPr>
            <w:sdt>
              <w:sdtPr>
                <w:rPr>
                  <w:rFonts w:ascii="Arial" w:hAnsi="Arial" w:cs="Arial"/>
                  <w:szCs w:val="28"/>
                </w:rPr>
                <w:id w:val="749390706"/>
                <w:placeholder>
                  <w:docPart w:val="3504C0E4071245179219B0A2207D3398"/>
                </w:placeholder>
                <w:date w:fullDate="2020-11-12T00:00:00Z">
                  <w:dateFormat w:val="dd MMMM yyyy"/>
                  <w:lid w:val="en-GB"/>
                  <w:storeMappedDataAs w:val="dateTime"/>
                  <w:calendar w:val="gregorian"/>
                </w:date>
              </w:sdtPr>
              <w:sdtEndPr/>
              <w:sdtContent>
                <w:r w:rsidR="00E237EA">
                  <w:rPr>
                    <w:rFonts w:ascii="Arial" w:hAnsi="Arial" w:cs="Arial"/>
                    <w:szCs w:val="28"/>
                  </w:rPr>
                  <w:t>12</w:t>
                </w:r>
                <w:r w:rsidR="008D7873">
                  <w:rPr>
                    <w:rFonts w:ascii="Arial" w:hAnsi="Arial" w:cs="Arial"/>
                    <w:szCs w:val="28"/>
                  </w:rPr>
                  <w:t xml:space="preserve"> November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B356411" w:rsidR="00450364" w:rsidRPr="00AC6F8A" w:rsidRDefault="0080526A"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3EED3DFC" w:rsidR="006F2667" w:rsidRPr="00AC6F8A" w:rsidRDefault="00121D52"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11-24T00:00:00Z">
                  <w:dateFormat w:val="dd MMMM yyyy"/>
                  <w:lid w:val="en-GB"/>
                  <w:storeMappedDataAs w:val="dateTime"/>
                  <w:calendar w:val="gregorian"/>
                </w:date>
              </w:sdtPr>
              <w:sdtEndPr/>
              <w:sdtContent>
                <w:r w:rsidR="00E237EA">
                  <w:rPr>
                    <w:rFonts w:ascii="Arial" w:hAnsi="Arial" w:cs="Arial"/>
                    <w:szCs w:val="28"/>
                  </w:rPr>
                  <w:t>24</w:t>
                </w:r>
                <w:r w:rsidR="008D7873">
                  <w:rPr>
                    <w:rFonts w:ascii="Arial" w:hAnsi="Arial" w:cs="Arial"/>
                    <w:szCs w:val="28"/>
                  </w:rPr>
                  <w:t xml:space="preserve"> November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26E572F"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7732F">
        <w:rPr>
          <w:rFonts w:ascii="Arial" w:hAnsi="Arial" w:cs="Arial"/>
          <w:b/>
        </w:rPr>
        <w:t>HR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17732F">
        <w:rPr>
          <w:rFonts w:ascii="Arial" w:hAnsi="Arial" w:cs="Arial"/>
          <w:b/>
        </w:rPr>
        <w:t>EdinburghHRTeam@sps.pnn.gov.uk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450364">
        <w:rPr>
          <w:rFonts w:ascii="Arial" w:hAnsi="Arial" w:cs="Arial"/>
          <w:b/>
        </w:rPr>
        <w:fldChar w:fldCharType="begin">
          <w:ffData>
            <w:name w:val=""/>
            <w:enabled/>
            <w:calcOnExit w:val="0"/>
            <w:textInput>
              <w:default w:val="Phone Number"/>
              <w:maxLength w:val="70"/>
              <w:format w:val="TITLE CASE"/>
            </w:textInput>
          </w:ffData>
        </w:fldChar>
      </w:r>
      <w:r w:rsidR="00450364">
        <w:rPr>
          <w:rFonts w:ascii="Arial" w:hAnsi="Arial" w:cs="Arial"/>
          <w:b/>
        </w:rPr>
        <w:instrText xml:space="preserve"> FORMTEXT </w:instrText>
      </w:r>
      <w:r w:rsidR="00450364">
        <w:rPr>
          <w:rFonts w:ascii="Arial" w:hAnsi="Arial" w:cs="Arial"/>
          <w:b/>
        </w:rPr>
      </w:r>
      <w:r w:rsidR="00450364">
        <w:rPr>
          <w:rFonts w:ascii="Arial" w:hAnsi="Arial" w:cs="Arial"/>
          <w:b/>
        </w:rPr>
        <w:fldChar w:fldCharType="separate"/>
      </w:r>
      <w:r w:rsidR="00450364">
        <w:rPr>
          <w:rFonts w:ascii="Arial" w:hAnsi="Arial" w:cs="Arial"/>
          <w:b/>
          <w:noProof/>
        </w:rPr>
        <w:t>Phone Number</w:t>
      </w:r>
      <w:r w:rsidR="00450364">
        <w:rPr>
          <w:rFonts w:ascii="Arial" w:hAnsi="Arial" w:cs="Arial"/>
          <w:b/>
        </w:rPr>
        <w:fldChar w:fldCharType="end"/>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21D52"/>
    <w:rsid w:val="00141899"/>
    <w:rsid w:val="0017732F"/>
    <w:rsid w:val="001D2B14"/>
    <w:rsid w:val="002D1B46"/>
    <w:rsid w:val="002D7A84"/>
    <w:rsid w:val="00394388"/>
    <w:rsid w:val="00450364"/>
    <w:rsid w:val="00505A44"/>
    <w:rsid w:val="005B7DE7"/>
    <w:rsid w:val="005C2E5B"/>
    <w:rsid w:val="006A50EA"/>
    <w:rsid w:val="006F2667"/>
    <w:rsid w:val="00736EC3"/>
    <w:rsid w:val="0074092E"/>
    <w:rsid w:val="00790101"/>
    <w:rsid w:val="007A0D8C"/>
    <w:rsid w:val="0080526A"/>
    <w:rsid w:val="0083127C"/>
    <w:rsid w:val="008D7873"/>
    <w:rsid w:val="0092361D"/>
    <w:rsid w:val="00964464"/>
    <w:rsid w:val="009B722E"/>
    <w:rsid w:val="009B738A"/>
    <w:rsid w:val="00AC6F8A"/>
    <w:rsid w:val="00AF54ED"/>
    <w:rsid w:val="00BB3C38"/>
    <w:rsid w:val="00C43531"/>
    <w:rsid w:val="00C4491F"/>
    <w:rsid w:val="00D757C8"/>
    <w:rsid w:val="00E12180"/>
    <w:rsid w:val="00E237EA"/>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E94053A8-863C-414D-8B0E-60C0F832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Higgs Linzi</cp:lastModifiedBy>
  <cp:revision>2</cp:revision>
  <dcterms:created xsi:type="dcterms:W3CDTF">2020-10-23T12:16:00Z</dcterms:created>
  <dcterms:modified xsi:type="dcterms:W3CDTF">2020-10-23T12:16:00Z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