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87CC"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609497D7" w:rsidR="00FB5429" w:rsidRPr="00AC6F8A" w:rsidRDefault="001052AF" w:rsidP="00FB5429">
      <w:pPr>
        <w:jc w:val="center"/>
        <w:rPr>
          <w:rFonts w:ascii="Arial" w:hAnsi="Arial" w:cs="Arial"/>
          <w:b/>
          <w:color w:val="1F497D" w:themeColor="text2"/>
          <w:sz w:val="36"/>
          <w:szCs w:val="40"/>
          <w:highlight w:val="yellow"/>
        </w:rPr>
      </w:pPr>
      <w:r>
        <w:rPr>
          <w:rFonts w:ascii="Arial" w:hAnsi="Arial" w:cs="Arial"/>
          <w:b/>
          <w:color w:val="004295"/>
          <w:sz w:val="32"/>
        </w:rPr>
        <w:t>FINAN</w:t>
      </w:r>
      <w:r w:rsidR="000B7C92">
        <w:rPr>
          <w:rFonts w:ascii="Arial" w:hAnsi="Arial" w:cs="Arial"/>
          <w:b/>
          <w:color w:val="004295"/>
          <w:sz w:val="32"/>
        </w:rPr>
        <w:t>CE ASSISTANT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6C1FA7C8" w14:textId="77777777" w:rsidR="00F514D3" w:rsidRPr="00F514D3" w:rsidRDefault="00F514D3" w:rsidP="00F514D3">
            <w:pPr>
              <w:pStyle w:val="NormalWeb"/>
              <w:jc w:val="both"/>
              <w:rPr>
                <w:rFonts w:ascii="Arial" w:hAnsi="Arial" w:cs="Arial"/>
                <w:sz w:val="22"/>
                <w:szCs w:val="22"/>
                <w:lang w:val="en"/>
              </w:rPr>
            </w:pPr>
            <w:r w:rsidRPr="00F514D3">
              <w:rPr>
                <w:rFonts w:ascii="Arial" w:hAnsi="Arial" w:cs="Arial"/>
                <w:sz w:val="22"/>
                <w:szCs w:val="22"/>
                <w:lang w:val="en"/>
              </w:rPr>
              <w:t xml:space="preserve">The post holder will provide a service to support the business within the Financial Policy and Services Department at Headquarters and contribute towards the provision of a high quality service to the department's customers. </w:t>
            </w:r>
          </w:p>
          <w:p w14:paraId="2888C7FE" w14:textId="1574A044" w:rsidR="00FB5429" w:rsidRPr="00AC6F8A" w:rsidRDefault="00F514D3" w:rsidP="00F514D3">
            <w:pPr>
              <w:rPr>
                <w:rFonts w:ascii="Arial" w:hAnsi="Arial" w:cs="Arial"/>
              </w:rPr>
            </w:pPr>
            <w:r w:rsidRPr="00F514D3">
              <w:rPr>
                <w:rFonts w:ascii="Arial" w:hAnsi="Arial" w:cs="Arial"/>
                <w:lang w:val="en"/>
              </w:rPr>
              <w:t>There will also be responsibility for assisting with the preparation of documents for year end and reviewing year end returns from establishments.</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1EA53450" w:rsidR="00FB5429" w:rsidRPr="00F514D3" w:rsidRDefault="00F514D3" w:rsidP="00AC6F8A">
            <w:pPr>
              <w:rPr>
                <w:rFonts w:ascii="Arial" w:hAnsi="Arial" w:cs="Arial"/>
                <w:color w:val="1F497D" w:themeColor="text2"/>
              </w:rPr>
            </w:pPr>
            <w:r w:rsidRPr="00F514D3">
              <w:rPr>
                <w:rFonts w:ascii="Arial" w:hAnsi="Arial" w:cs="Arial"/>
                <w:lang w:val="en"/>
              </w:rPr>
              <w:t>Administration and monitoring of the Accounts Payable ledger including reviewing data input by users, preparation of the BACS supplier payment runs and assisting with resolution of disputed invoices, escalating issues to the Finance Officer as necessary.  Completion of the Accounts Payable month end reconciliation and reconciliation of supplier statements.</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216916DB" w:rsidR="00FB5429" w:rsidRPr="00F514D3" w:rsidRDefault="00F514D3">
            <w:pPr>
              <w:rPr>
                <w:rFonts w:ascii="Arial" w:hAnsi="Arial" w:cs="Arial"/>
                <w:b/>
                <w:color w:val="1F497D" w:themeColor="text2"/>
              </w:rPr>
            </w:pPr>
            <w:r w:rsidRPr="00F514D3">
              <w:rPr>
                <w:rFonts w:ascii="Arial" w:hAnsi="Arial" w:cs="Arial"/>
                <w:lang w:val="en"/>
              </w:rPr>
              <w:t>Administration and monitoring of the Accounts Receivable ledger including regular review of the Aged Debtor listing and following up overdue invoices, escalating issues to the Finance Officer as necessary.</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6327EE8F" w:rsidR="00FB5429" w:rsidRPr="00F514D3" w:rsidRDefault="00F514D3">
            <w:pPr>
              <w:rPr>
                <w:rFonts w:ascii="Arial" w:hAnsi="Arial" w:cs="Arial"/>
                <w:b/>
                <w:color w:val="1F497D" w:themeColor="text2"/>
              </w:rPr>
            </w:pPr>
            <w:r w:rsidRPr="00F514D3">
              <w:rPr>
                <w:rFonts w:ascii="Arial" w:hAnsi="Arial" w:cs="Arial"/>
                <w:lang w:val="en"/>
              </w:rPr>
              <w:t xml:space="preserve">Verifying the accuracy of documentation received for payment through cashbook, checking and processing cashbook payments via online banking or cheque payment and accurately recording these within the Financial System in a timely manner.  </w:t>
            </w:r>
            <w:r w:rsidRPr="00F514D3">
              <w:rPr>
                <w:rFonts w:ascii="Arial" w:hAnsi="Arial" w:cs="Arial"/>
                <w:color w:val="000000"/>
                <w:lang w:val="en"/>
              </w:rPr>
              <w:t>Monitoring of HQ and establishment bank account balances and tracking SPS cash flows on a daily basis.  At month end completion of various cash book reconciliations and uploading of bank statement information onto the Financial System.</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1A65E22E" w:rsidR="00FB5429" w:rsidRPr="00F514D3" w:rsidRDefault="00F514D3">
            <w:pPr>
              <w:rPr>
                <w:rFonts w:ascii="Arial" w:hAnsi="Arial" w:cs="Arial"/>
                <w:b/>
                <w:color w:val="1F497D" w:themeColor="text2"/>
              </w:rPr>
            </w:pPr>
            <w:r w:rsidRPr="00F514D3">
              <w:rPr>
                <w:rFonts w:ascii="Arial" w:hAnsi="Arial" w:cs="Arial"/>
                <w:lang w:val="en"/>
              </w:rPr>
              <w:t>Processing changes received from establishments in relation to Non-Current Assets and assisting with both Non-Current Assets and Budgets.  This will include a</w:t>
            </w:r>
            <w:r w:rsidRPr="00F514D3">
              <w:rPr>
                <w:rFonts w:ascii="Arial" w:hAnsi="Arial" w:cs="Arial"/>
                <w:color w:val="000000"/>
                <w:lang w:val="en"/>
              </w:rPr>
              <w:t>ssisting with the distribution of management information and collation of monthly variance reports and outturn submissions received from establishments and HQ directorates.</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2F7ECB9A" w:rsidR="00FB5429" w:rsidRPr="00F514D3" w:rsidRDefault="00F514D3">
            <w:pPr>
              <w:rPr>
                <w:rFonts w:ascii="Arial" w:hAnsi="Arial" w:cs="Arial"/>
                <w:b/>
                <w:color w:val="1F497D" w:themeColor="text2"/>
              </w:rPr>
            </w:pPr>
            <w:r w:rsidRPr="00F514D3">
              <w:rPr>
                <w:rFonts w:ascii="Arial" w:hAnsi="Arial" w:cs="Arial"/>
                <w:lang w:val="en"/>
              </w:rPr>
              <w:t xml:space="preserve">Checking and recording information from establishment year end pack returns onto year end schedules and following up queries with local finance teams as required.  </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0B3089FD" w:rsidR="00FB5429" w:rsidRPr="00F514D3" w:rsidRDefault="00F514D3">
            <w:pPr>
              <w:rPr>
                <w:rFonts w:ascii="Arial" w:hAnsi="Arial" w:cs="Arial"/>
                <w:b/>
                <w:color w:val="1F497D" w:themeColor="text2"/>
              </w:rPr>
            </w:pPr>
            <w:r w:rsidRPr="00F514D3">
              <w:rPr>
                <w:rFonts w:ascii="Arial" w:hAnsi="Arial" w:cs="Arial"/>
                <w:lang w:val="en"/>
              </w:rPr>
              <w:t xml:space="preserve">Provide cover for the other Finance Assistant posts within Financial Policy and Services as required and carry out other general administration duties including </w:t>
            </w:r>
            <w:r w:rsidRPr="00F514D3">
              <w:rPr>
                <w:rFonts w:ascii="Arial" w:hAnsi="Arial" w:cs="Arial"/>
                <w:lang w:val="en"/>
              </w:rPr>
              <w:lastRenderedPageBreak/>
              <w:t>mail distribution, ordering stationery, photocopying, filing, typing, sending emails etc.</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6D778C2A" w14:textId="77777777" w:rsidR="00C553CB" w:rsidRPr="00C553CB" w:rsidRDefault="00C553CB" w:rsidP="00C553CB">
            <w:pPr>
              <w:rPr>
                <w:rFonts w:ascii="Arial" w:hAnsi="Arial" w:cs="Arial"/>
              </w:rPr>
            </w:pPr>
            <w:r w:rsidRPr="00C553CB">
              <w:rPr>
                <w:rFonts w:ascii="Arial" w:hAnsi="Arial" w:cs="Arial"/>
                <w:bCs/>
              </w:rPr>
              <w:t>Minimum of five National 5 (or equivalent) qualifications including English and Mathematics or relevant experience gained in a similar role and/or environment.</w:t>
            </w:r>
          </w:p>
          <w:p w14:paraId="27A2145C" w14:textId="3F5E12AB" w:rsidR="005B7DE7" w:rsidRPr="00AC6F8A" w:rsidRDefault="005B7DE7" w:rsidP="00C553CB">
            <w:pPr>
              <w:pStyle w:val="NormalWeb"/>
              <w:spacing w:before="0" w:beforeAutospacing="0" w:after="0" w:afterAutospacing="0"/>
              <w:jc w:val="both"/>
              <w:rPr>
                <w:rFonts w:ascii="Arial" w:hAnsi="Arial" w:cs="Arial"/>
              </w:rPr>
            </w:pPr>
          </w:p>
        </w:tc>
        <w:tc>
          <w:tcPr>
            <w:tcW w:w="2410" w:type="dxa"/>
            <w:shd w:val="clear" w:color="auto" w:fill="auto"/>
          </w:tcPr>
          <w:p w14:paraId="0FF3DBCD" w14:textId="2D3BB2C5" w:rsidR="005B7DE7" w:rsidRPr="00F514D3" w:rsidRDefault="00F514D3" w:rsidP="005B7DE7">
            <w:pPr>
              <w:spacing w:before="120" w:after="120" w:line="240" w:lineRule="auto"/>
              <w:rPr>
                <w:rFonts w:ascii="Arial" w:eastAsia="Cambria" w:hAnsi="Arial" w:cs="Arial"/>
              </w:rPr>
            </w:pPr>
            <w:r w:rsidRPr="00F514D3">
              <w:rPr>
                <w:rStyle w:val="Strong"/>
                <w:rFonts w:ascii="Arial" w:hAnsi="Arial" w:cs="Arial"/>
                <w:lang w:val="en"/>
              </w:rPr>
              <w:t>ESSENTIAL</w:t>
            </w:r>
          </w:p>
        </w:tc>
        <w:tc>
          <w:tcPr>
            <w:tcW w:w="2268" w:type="dxa"/>
            <w:shd w:val="clear" w:color="auto" w:fill="auto"/>
          </w:tcPr>
          <w:p w14:paraId="1943FACD" w14:textId="033009E5" w:rsidR="005B7DE7" w:rsidRPr="00A300CF" w:rsidRDefault="00F514D3" w:rsidP="00AC6F8A">
            <w:pPr>
              <w:spacing w:before="120" w:after="120" w:line="240" w:lineRule="auto"/>
              <w:rPr>
                <w:rFonts w:ascii="Arial" w:eastAsia="Cambria" w:hAnsi="Arial" w:cs="Arial"/>
              </w:rPr>
            </w:pPr>
            <w:r w:rsidRPr="00A300CF">
              <w:rPr>
                <w:rFonts w:ascii="Arial" w:eastAsia="Cambria" w:hAnsi="Arial" w:cs="Arial"/>
              </w:rPr>
              <w:t>Application</w:t>
            </w:r>
          </w:p>
        </w:tc>
      </w:tr>
      <w:tr w:rsidR="005B7DE7" w:rsidRPr="00AC6F8A" w14:paraId="49FE4D73" w14:textId="77777777" w:rsidTr="00450364">
        <w:trPr>
          <w:trHeight w:val="975"/>
        </w:trPr>
        <w:tc>
          <w:tcPr>
            <w:tcW w:w="4361" w:type="dxa"/>
            <w:shd w:val="clear" w:color="auto" w:fill="DAEEF3"/>
          </w:tcPr>
          <w:p w14:paraId="17C25C23" w14:textId="77777777" w:rsidR="00F514D3" w:rsidRPr="00F514D3" w:rsidRDefault="00F514D3" w:rsidP="00F514D3">
            <w:pPr>
              <w:pStyle w:val="NormalWeb"/>
              <w:spacing w:before="0" w:beforeAutospacing="0" w:after="0" w:afterAutospacing="0"/>
              <w:rPr>
                <w:rFonts w:ascii="Arial" w:hAnsi="Arial" w:cs="Arial"/>
                <w:sz w:val="22"/>
                <w:szCs w:val="22"/>
                <w:lang w:val="en"/>
              </w:rPr>
            </w:pPr>
            <w:r w:rsidRPr="00F514D3">
              <w:rPr>
                <w:rFonts w:ascii="Arial" w:hAnsi="Arial" w:cs="Arial"/>
                <w:sz w:val="22"/>
                <w:szCs w:val="22"/>
                <w:lang w:val="en"/>
              </w:rPr>
              <w:t xml:space="preserve">Hold a financial qualification or be willing to work towards this e.g. AAT, CAT </w:t>
            </w:r>
          </w:p>
          <w:p w14:paraId="7A3A28E2" w14:textId="62E8CB0B" w:rsidR="005B7DE7" w:rsidRPr="00AC6F8A" w:rsidRDefault="005B7DE7" w:rsidP="00AF54ED">
            <w:pPr>
              <w:rPr>
                <w:rFonts w:ascii="Arial" w:hAnsi="Arial" w:cs="Arial"/>
              </w:rPr>
            </w:pPr>
          </w:p>
        </w:tc>
        <w:tc>
          <w:tcPr>
            <w:tcW w:w="2410" w:type="dxa"/>
            <w:shd w:val="clear" w:color="auto" w:fill="auto"/>
          </w:tcPr>
          <w:p w14:paraId="243F59F1" w14:textId="1233D15D" w:rsidR="005B7DE7" w:rsidRPr="00AC6F8A" w:rsidRDefault="000E718A" w:rsidP="005B7DE7">
            <w:pPr>
              <w:spacing w:before="120" w:after="120" w:line="240" w:lineRule="auto"/>
              <w:rPr>
                <w:rFonts w:ascii="Arial" w:eastAsia="Cambria" w:hAnsi="Arial" w:cs="Arial"/>
              </w:rPr>
            </w:pPr>
            <w:r>
              <w:rPr>
                <w:rStyle w:val="Strong"/>
                <w:rFonts w:ascii="Arial" w:hAnsi="Arial" w:cs="Arial"/>
                <w:lang w:val="en"/>
              </w:rPr>
              <w:t xml:space="preserve">DESIRBALE </w:t>
            </w:r>
          </w:p>
        </w:tc>
        <w:tc>
          <w:tcPr>
            <w:tcW w:w="2268" w:type="dxa"/>
            <w:shd w:val="clear" w:color="auto" w:fill="auto"/>
          </w:tcPr>
          <w:p w14:paraId="60F8F5E5" w14:textId="5EF96691" w:rsidR="005B7DE7" w:rsidRPr="00A300CF" w:rsidRDefault="00A300CF" w:rsidP="005B7DE7">
            <w:pPr>
              <w:spacing w:before="120" w:after="120" w:line="240" w:lineRule="auto"/>
              <w:rPr>
                <w:rFonts w:ascii="Arial" w:eastAsia="Cambria" w:hAnsi="Arial" w:cs="Arial"/>
              </w:rPr>
            </w:pPr>
            <w:r w:rsidRPr="00A300CF">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08AA3CC0" w14:textId="77777777" w:rsidR="00F514D3" w:rsidRPr="00F514D3" w:rsidRDefault="00F514D3" w:rsidP="00F514D3">
            <w:pPr>
              <w:pStyle w:val="NormalWeb"/>
              <w:spacing w:before="0" w:beforeAutospacing="0" w:after="0" w:afterAutospacing="0"/>
              <w:jc w:val="both"/>
              <w:rPr>
                <w:rFonts w:ascii="Arial" w:hAnsi="Arial" w:cs="Arial"/>
                <w:sz w:val="22"/>
                <w:szCs w:val="22"/>
                <w:lang w:val="en"/>
              </w:rPr>
            </w:pPr>
            <w:r w:rsidRPr="00F514D3">
              <w:rPr>
                <w:rFonts w:ascii="Arial" w:hAnsi="Arial" w:cs="Arial"/>
                <w:sz w:val="22"/>
                <w:szCs w:val="22"/>
                <w:lang w:val="en"/>
              </w:rPr>
              <w:t>Competent in the use of a windows based finance package.</w:t>
            </w:r>
          </w:p>
          <w:p w14:paraId="1D9928B0" w14:textId="4F86FD24" w:rsidR="005B7DE7" w:rsidRPr="00AC6F8A" w:rsidRDefault="005B7DE7" w:rsidP="00141899">
            <w:pPr>
              <w:rPr>
                <w:rFonts w:ascii="Arial" w:eastAsia="Cambria" w:hAnsi="Arial" w:cs="Arial"/>
              </w:rPr>
            </w:pPr>
          </w:p>
        </w:tc>
        <w:tc>
          <w:tcPr>
            <w:tcW w:w="2410" w:type="dxa"/>
          </w:tcPr>
          <w:p w14:paraId="17BA99EB" w14:textId="75689AC9" w:rsidR="005B7DE7" w:rsidRPr="00AC6F8A" w:rsidRDefault="00F514D3" w:rsidP="005B7DE7">
            <w:pPr>
              <w:spacing w:before="120" w:after="120" w:line="240" w:lineRule="auto"/>
              <w:rPr>
                <w:rFonts w:ascii="Arial" w:eastAsia="Cambria" w:hAnsi="Arial" w:cs="Arial"/>
              </w:rPr>
            </w:pPr>
            <w:r w:rsidRPr="00F514D3">
              <w:rPr>
                <w:rStyle w:val="Strong"/>
                <w:rFonts w:ascii="Arial" w:hAnsi="Arial" w:cs="Arial"/>
                <w:lang w:val="en"/>
              </w:rPr>
              <w:t>ESSENTIAL</w:t>
            </w:r>
          </w:p>
        </w:tc>
        <w:tc>
          <w:tcPr>
            <w:tcW w:w="2268" w:type="dxa"/>
          </w:tcPr>
          <w:p w14:paraId="5BD3187B" w14:textId="77777777" w:rsidR="00A300CF" w:rsidRDefault="00A300CF" w:rsidP="005B7DE7">
            <w:pPr>
              <w:spacing w:before="120" w:after="120" w:line="240" w:lineRule="auto"/>
              <w:rPr>
                <w:rFonts w:ascii="Arial" w:eastAsia="Cambria" w:hAnsi="Arial" w:cs="Arial"/>
              </w:rPr>
            </w:pPr>
            <w:r w:rsidRPr="00A300CF">
              <w:rPr>
                <w:rFonts w:ascii="Arial" w:eastAsia="Cambria" w:hAnsi="Arial" w:cs="Arial"/>
              </w:rPr>
              <w:t>Application</w:t>
            </w:r>
          </w:p>
          <w:p w14:paraId="24AB8F4A" w14:textId="7302ED97" w:rsidR="005B7DE7" w:rsidRPr="00AC6F8A" w:rsidRDefault="00A300CF"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505AE3F4" w14:textId="77777777" w:rsidR="00F514D3" w:rsidRPr="00E14616" w:rsidRDefault="00F514D3" w:rsidP="00F514D3">
            <w:pPr>
              <w:pStyle w:val="NormalWeb"/>
              <w:spacing w:before="0" w:beforeAutospacing="0" w:after="0" w:afterAutospacing="0"/>
              <w:jc w:val="both"/>
              <w:rPr>
                <w:rFonts w:ascii="Arial" w:hAnsi="Arial" w:cs="Arial"/>
                <w:sz w:val="22"/>
                <w:szCs w:val="22"/>
                <w:lang w:val="en"/>
              </w:rPr>
            </w:pPr>
            <w:r w:rsidRPr="00E14616">
              <w:rPr>
                <w:rFonts w:ascii="Arial" w:hAnsi="Arial" w:cs="Arial"/>
                <w:sz w:val="22"/>
                <w:szCs w:val="22"/>
                <w:lang w:val="en"/>
              </w:rPr>
              <w:t xml:space="preserve">Competent in the use of Microsoft Office including Word, Excel and Outlook and able to demonstrate advanced Excel skills. </w:t>
            </w:r>
          </w:p>
          <w:p w14:paraId="3194DDE7" w14:textId="4D444D6B" w:rsidR="005B7DE7" w:rsidRPr="00AC6F8A" w:rsidRDefault="005B7DE7" w:rsidP="00D757C8">
            <w:pPr>
              <w:rPr>
                <w:rFonts w:ascii="Arial" w:hAnsi="Arial" w:cs="Arial"/>
              </w:rPr>
            </w:pPr>
          </w:p>
        </w:tc>
        <w:tc>
          <w:tcPr>
            <w:tcW w:w="2410" w:type="dxa"/>
          </w:tcPr>
          <w:p w14:paraId="3711A2B6" w14:textId="0243330A" w:rsidR="005B7DE7" w:rsidRPr="00AC6F8A" w:rsidRDefault="00F514D3" w:rsidP="005B7DE7">
            <w:pPr>
              <w:spacing w:before="120" w:after="120" w:line="240" w:lineRule="auto"/>
              <w:rPr>
                <w:rFonts w:ascii="Arial" w:eastAsia="Cambria" w:hAnsi="Arial" w:cs="Arial"/>
              </w:rPr>
            </w:pPr>
            <w:r w:rsidRPr="00F514D3">
              <w:rPr>
                <w:rStyle w:val="Strong"/>
                <w:rFonts w:ascii="Arial" w:hAnsi="Arial" w:cs="Arial"/>
                <w:lang w:val="en"/>
              </w:rPr>
              <w:t>ESSENTIAL</w:t>
            </w:r>
          </w:p>
        </w:tc>
        <w:tc>
          <w:tcPr>
            <w:tcW w:w="2268" w:type="dxa"/>
          </w:tcPr>
          <w:p w14:paraId="55FAE975" w14:textId="07D34044" w:rsidR="00A300CF" w:rsidRDefault="00A300CF" w:rsidP="00A300CF">
            <w:pPr>
              <w:spacing w:before="120" w:after="120" w:line="240" w:lineRule="auto"/>
              <w:rPr>
                <w:rFonts w:ascii="Arial" w:eastAsia="Cambria" w:hAnsi="Arial" w:cs="Arial"/>
              </w:rPr>
            </w:pPr>
            <w:r w:rsidRPr="00A300CF">
              <w:rPr>
                <w:rFonts w:ascii="Arial" w:eastAsia="Cambria" w:hAnsi="Arial" w:cs="Arial"/>
              </w:rPr>
              <w:t>Application</w:t>
            </w:r>
          </w:p>
          <w:p w14:paraId="0C86410B" w14:textId="15DB0EEA" w:rsidR="005B7DE7" w:rsidRPr="00AC6F8A" w:rsidRDefault="00A300CF" w:rsidP="00A300CF">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2277C448" w14:textId="77777777" w:rsidR="00F514D3" w:rsidRPr="00E14616" w:rsidRDefault="00F514D3" w:rsidP="00F514D3">
            <w:pPr>
              <w:pStyle w:val="NormalWeb"/>
              <w:spacing w:before="0" w:beforeAutospacing="0" w:after="0" w:afterAutospacing="0"/>
              <w:jc w:val="both"/>
              <w:rPr>
                <w:rFonts w:ascii="Arial" w:hAnsi="Arial" w:cs="Arial"/>
                <w:sz w:val="22"/>
                <w:szCs w:val="22"/>
                <w:lang w:val="en"/>
              </w:rPr>
            </w:pPr>
            <w:r w:rsidRPr="00E14616">
              <w:rPr>
                <w:rFonts w:ascii="Arial" w:hAnsi="Arial" w:cs="Arial"/>
                <w:sz w:val="22"/>
                <w:szCs w:val="22"/>
                <w:lang w:val="en"/>
              </w:rPr>
              <w:t xml:space="preserve">Experience of Accounts Payable, Accounts Receivable and Cashbook including online banking. </w:t>
            </w:r>
          </w:p>
          <w:p w14:paraId="50146011" w14:textId="03C472E1" w:rsidR="00141899" w:rsidRPr="00AC6F8A" w:rsidRDefault="00141899" w:rsidP="00D757C8">
            <w:pPr>
              <w:rPr>
                <w:rFonts w:ascii="Arial" w:eastAsia="Cambria" w:hAnsi="Arial" w:cs="Arial"/>
              </w:rPr>
            </w:pPr>
          </w:p>
        </w:tc>
        <w:tc>
          <w:tcPr>
            <w:tcW w:w="2410" w:type="dxa"/>
          </w:tcPr>
          <w:p w14:paraId="38B65C45" w14:textId="0A9DDD37" w:rsidR="00141899" w:rsidRPr="00AC6F8A" w:rsidRDefault="00F514D3" w:rsidP="005B7DE7">
            <w:pPr>
              <w:spacing w:before="120" w:after="120" w:line="240" w:lineRule="auto"/>
              <w:rPr>
                <w:rFonts w:ascii="Arial" w:eastAsia="Cambria" w:hAnsi="Arial" w:cs="Arial"/>
              </w:rPr>
            </w:pPr>
            <w:r w:rsidRPr="00F514D3">
              <w:rPr>
                <w:rStyle w:val="Strong"/>
                <w:rFonts w:ascii="Arial" w:hAnsi="Arial" w:cs="Arial"/>
                <w:lang w:val="en"/>
              </w:rPr>
              <w:t>ESSENTIAL</w:t>
            </w:r>
          </w:p>
        </w:tc>
        <w:tc>
          <w:tcPr>
            <w:tcW w:w="2268" w:type="dxa"/>
          </w:tcPr>
          <w:p w14:paraId="394412DE" w14:textId="77777777" w:rsidR="00A300CF" w:rsidRDefault="00A300CF" w:rsidP="00A300CF">
            <w:pPr>
              <w:spacing w:before="120" w:after="120" w:line="240" w:lineRule="auto"/>
              <w:rPr>
                <w:rFonts w:ascii="Arial" w:eastAsia="Cambria" w:hAnsi="Arial" w:cs="Arial"/>
              </w:rPr>
            </w:pPr>
            <w:r w:rsidRPr="00A300CF">
              <w:rPr>
                <w:rFonts w:ascii="Arial" w:eastAsia="Cambria" w:hAnsi="Arial" w:cs="Arial"/>
              </w:rPr>
              <w:t>Application</w:t>
            </w:r>
          </w:p>
          <w:p w14:paraId="46FE92B7" w14:textId="0394B202" w:rsidR="00141899" w:rsidRPr="00AC6F8A" w:rsidRDefault="00A300CF" w:rsidP="00A300CF">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0B546036" w14:textId="7E6A65B4" w:rsidR="00F514D3" w:rsidRPr="00E14616" w:rsidRDefault="00F514D3" w:rsidP="00F514D3">
            <w:pPr>
              <w:pStyle w:val="NormalWeb"/>
              <w:spacing w:before="0" w:beforeAutospacing="0" w:after="0" w:afterAutospacing="0"/>
              <w:jc w:val="both"/>
              <w:rPr>
                <w:rFonts w:ascii="Arial" w:hAnsi="Arial" w:cs="Arial"/>
                <w:sz w:val="22"/>
                <w:szCs w:val="22"/>
                <w:lang w:val="en"/>
              </w:rPr>
            </w:pPr>
            <w:r w:rsidRPr="00E14616">
              <w:rPr>
                <w:rFonts w:ascii="Arial" w:hAnsi="Arial" w:cs="Arial"/>
                <w:sz w:val="22"/>
                <w:szCs w:val="22"/>
                <w:lang w:val="en"/>
              </w:rPr>
              <w:t>Excellent numeracy skills with the ability to analyse a wide range of information and experience of completing balance sheet account reconciliations.</w:t>
            </w:r>
          </w:p>
          <w:p w14:paraId="38531429" w14:textId="3EFBAC11" w:rsidR="005B7DE7" w:rsidRPr="00AC6F8A" w:rsidRDefault="00F514D3" w:rsidP="00F514D3">
            <w:pPr>
              <w:rPr>
                <w:rFonts w:ascii="Arial" w:hAnsi="Arial" w:cs="Arial"/>
              </w:rPr>
            </w:pPr>
            <w:r w:rsidRPr="00AC6F8A">
              <w:rPr>
                <w:rFonts w:ascii="Arial" w:hAnsi="Arial" w:cs="Arial"/>
              </w:rPr>
              <w:lastRenderedPageBreak/>
              <w:t xml:space="preserve"> </w:t>
            </w:r>
            <w:r w:rsidR="00AC6F8A" w:rsidRPr="00AC6F8A">
              <w:rPr>
                <w:rFonts w:ascii="Arial" w:hAnsi="Arial" w:cs="Arial"/>
              </w:rPr>
              <w:t>[Insert criteria from Person Specification]</w:t>
            </w:r>
          </w:p>
        </w:tc>
        <w:tc>
          <w:tcPr>
            <w:tcW w:w="2410" w:type="dxa"/>
          </w:tcPr>
          <w:p w14:paraId="663931CC" w14:textId="37A9D86C" w:rsidR="005B7DE7" w:rsidRPr="00AC6F8A" w:rsidRDefault="00F514D3" w:rsidP="005B7DE7">
            <w:pPr>
              <w:spacing w:before="120" w:after="120" w:line="240" w:lineRule="auto"/>
              <w:rPr>
                <w:rFonts w:ascii="Arial" w:eastAsia="Cambria" w:hAnsi="Arial" w:cs="Arial"/>
              </w:rPr>
            </w:pPr>
            <w:r w:rsidRPr="00F514D3">
              <w:rPr>
                <w:rStyle w:val="Strong"/>
                <w:rFonts w:ascii="Arial" w:hAnsi="Arial" w:cs="Arial"/>
                <w:lang w:val="en"/>
              </w:rPr>
              <w:lastRenderedPageBreak/>
              <w:t>ESSENTIAL</w:t>
            </w:r>
          </w:p>
        </w:tc>
        <w:tc>
          <w:tcPr>
            <w:tcW w:w="2268" w:type="dxa"/>
          </w:tcPr>
          <w:p w14:paraId="3B385532" w14:textId="693D335D" w:rsidR="005B7DE7" w:rsidRPr="00AC6F8A" w:rsidRDefault="00A300CF"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10EFFF9A" w14:textId="56B3EF09" w:rsidR="00F514D3" w:rsidRPr="00E14616" w:rsidRDefault="00F514D3" w:rsidP="00F514D3">
            <w:pPr>
              <w:pStyle w:val="NormalWeb"/>
              <w:spacing w:before="0" w:beforeAutospacing="0" w:after="0" w:afterAutospacing="0"/>
              <w:jc w:val="both"/>
              <w:rPr>
                <w:rFonts w:ascii="Arial" w:hAnsi="Arial" w:cs="Arial"/>
                <w:sz w:val="22"/>
                <w:szCs w:val="22"/>
                <w:lang w:val="en"/>
              </w:rPr>
            </w:pPr>
            <w:r w:rsidRPr="00E14616">
              <w:rPr>
                <w:rFonts w:ascii="Arial" w:hAnsi="Arial" w:cs="Arial"/>
                <w:sz w:val="22"/>
                <w:szCs w:val="22"/>
                <w:lang w:val="en"/>
              </w:rPr>
              <w:t xml:space="preserve">Ability to work effectively on your own initiative and as part of a team with excellent </w:t>
            </w:r>
            <w:r>
              <w:rPr>
                <w:rFonts w:ascii="Arial" w:hAnsi="Arial" w:cs="Arial"/>
                <w:sz w:val="22"/>
                <w:szCs w:val="22"/>
                <w:lang w:val="en"/>
              </w:rPr>
              <w:t>organis</w:t>
            </w:r>
            <w:r w:rsidRPr="00E14616">
              <w:rPr>
                <w:rFonts w:ascii="Arial" w:hAnsi="Arial" w:cs="Arial"/>
                <w:sz w:val="22"/>
                <w:szCs w:val="22"/>
                <w:lang w:val="en"/>
              </w:rPr>
              <w:t>ational skills and the ability to work to a specified deadlines.</w:t>
            </w:r>
          </w:p>
          <w:p w14:paraId="3AE77C03" w14:textId="0D806003" w:rsidR="005B7DE7" w:rsidRPr="00AC6F8A" w:rsidRDefault="005B7DE7" w:rsidP="00141899">
            <w:pPr>
              <w:rPr>
                <w:rFonts w:ascii="Arial" w:eastAsia="Cambria" w:hAnsi="Arial" w:cs="Arial"/>
              </w:rPr>
            </w:pPr>
          </w:p>
        </w:tc>
        <w:tc>
          <w:tcPr>
            <w:tcW w:w="2410" w:type="dxa"/>
          </w:tcPr>
          <w:p w14:paraId="5D8D5D59" w14:textId="733BAE2C" w:rsidR="005B7DE7" w:rsidRPr="00AC6F8A" w:rsidRDefault="00F514D3" w:rsidP="005B7DE7">
            <w:pPr>
              <w:spacing w:before="120" w:after="120" w:line="240" w:lineRule="auto"/>
              <w:rPr>
                <w:rFonts w:ascii="Arial" w:eastAsia="Cambria" w:hAnsi="Arial" w:cs="Arial"/>
              </w:rPr>
            </w:pPr>
            <w:r w:rsidRPr="00F514D3">
              <w:rPr>
                <w:rStyle w:val="Strong"/>
                <w:rFonts w:ascii="Arial" w:hAnsi="Arial" w:cs="Arial"/>
                <w:lang w:val="en"/>
              </w:rPr>
              <w:t>ESSENTIAL</w:t>
            </w:r>
          </w:p>
        </w:tc>
        <w:tc>
          <w:tcPr>
            <w:tcW w:w="2268" w:type="dxa"/>
          </w:tcPr>
          <w:p w14:paraId="13430C81" w14:textId="5F8223C6" w:rsidR="005B7DE7" w:rsidRPr="00AC6F8A" w:rsidRDefault="00A300CF"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ACC4DF2" w14:textId="5E19819F" w:rsidR="00F514D3" w:rsidRPr="00E14616" w:rsidRDefault="00F514D3" w:rsidP="00F514D3">
            <w:pPr>
              <w:pStyle w:val="NormalWeb"/>
              <w:spacing w:before="0" w:beforeAutospacing="0" w:after="0" w:afterAutospacing="0"/>
              <w:jc w:val="both"/>
              <w:rPr>
                <w:rFonts w:ascii="Arial" w:hAnsi="Arial" w:cs="Arial"/>
                <w:sz w:val="22"/>
                <w:szCs w:val="22"/>
                <w:lang w:val="en"/>
              </w:rPr>
            </w:pPr>
            <w:r w:rsidRPr="00E14616">
              <w:rPr>
                <w:rFonts w:ascii="Arial" w:hAnsi="Arial" w:cs="Arial"/>
                <w:sz w:val="22"/>
                <w:szCs w:val="22"/>
                <w:lang w:val="en"/>
              </w:rPr>
              <w:t>Good communication skills with the ability to build and maintain effective relationships with a wide range of contacts.</w:t>
            </w:r>
          </w:p>
          <w:p w14:paraId="4B534DC6" w14:textId="511FC4C3" w:rsidR="005B7DE7" w:rsidRPr="00AC6F8A" w:rsidRDefault="005B7DE7" w:rsidP="00D757C8">
            <w:pPr>
              <w:rPr>
                <w:rFonts w:ascii="Arial" w:hAnsi="Arial" w:cs="Arial"/>
              </w:rPr>
            </w:pPr>
          </w:p>
        </w:tc>
        <w:tc>
          <w:tcPr>
            <w:tcW w:w="2410" w:type="dxa"/>
          </w:tcPr>
          <w:p w14:paraId="55DB7CD2" w14:textId="4FE60BCD" w:rsidR="005B7DE7" w:rsidRPr="00AC6F8A" w:rsidRDefault="00F514D3" w:rsidP="00141899">
            <w:pPr>
              <w:spacing w:before="120" w:after="120" w:line="240" w:lineRule="auto"/>
              <w:rPr>
                <w:rFonts w:ascii="Arial" w:eastAsia="Cambria" w:hAnsi="Arial" w:cs="Arial"/>
              </w:rPr>
            </w:pPr>
            <w:r w:rsidRPr="00F514D3">
              <w:rPr>
                <w:rStyle w:val="Strong"/>
                <w:rFonts w:ascii="Arial" w:hAnsi="Arial" w:cs="Arial"/>
                <w:lang w:val="en"/>
              </w:rPr>
              <w:t>ESSENTIAL</w:t>
            </w:r>
          </w:p>
        </w:tc>
        <w:tc>
          <w:tcPr>
            <w:tcW w:w="2268" w:type="dxa"/>
          </w:tcPr>
          <w:p w14:paraId="60506099" w14:textId="563C2124" w:rsidR="005B7DE7" w:rsidRPr="00AC6F8A" w:rsidRDefault="00A300CF"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47648604" w14:textId="77777777" w:rsidR="00F514D3" w:rsidRPr="00E14616" w:rsidRDefault="00F514D3" w:rsidP="00F514D3">
            <w:pPr>
              <w:pStyle w:val="NormalWeb"/>
              <w:spacing w:before="0" w:beforeAutospacing="0" w:after="0" w:afterAutospacing="0"/>
              <w:jc w:val="both"/>
              <w:rPr>
                <w:rFonts w:ascii="Arial" w:hAnsi="Arial" w:cs="Arial"/>
                <w:sz w:val="22"/>
                <w:szCs w:val="22"/>
                <w:lang w:val="en"/>
              </w:rPr>
            </w:pPr>
            <w:r w:rsidRPr="00E14616">
              <w:rPr>
                <w:rFonts w:ascii="Arial" w:hAnsi="Arial" w:cs="Arial"/>
                <w:sz w:val="22"/>
                <w:szCs w:val="22"/>
                <w:lang w:val="en"/>
              </w:rPr>
              <w:t>Knowledge of accounting for non-current assets and of Public-Sector Budgeting processes and variance reporting.</w:t>
            </w:r>
          </w:p>
          <w:p w14:paraId="0F5230F0" w14:textId="613B9F8B" w:rsidR="005B7DE7" w:rsidRPr="00AC6F8A" w:rsidRDefault="005B7DE7" w:rsidP="005B7DE7">
            <w:pPr>
              <w:rPr>
                <w:rFonts w:ascii="Arial" w:hAnsi="Arial" w:cs="Arial"/>
              </w:rPr>
            </w:pPr>
          </w:p>
        </w:tc>
        <w:tc>
          <w:tcPr>
            <w:tcW w:w="2410" w:type="dxa"/>
          </w:tcPr>
          <w:p w14:paraId="5F2C31D1" w14:textId="30AD2BD4" w:rsidR="005B7DE7" w:rsidRPr="00F514D3" w:rsidRDefault="00F514D3" w:rsidP="005B7DE7">
            <w:pPr>
              <w:spacing w:before="120" w:after="120" w:line="240" w:lineRule="auto"/>
              <w:rPr>
                <w:rFonts w:ascii="Arial" w:eastAsia="Cambria" w:hAnsi="Arial" w:cs="Arial"/>
              </w:rPr>
            </w:pPr>
            <w:r w:rsidRPr="00F514D3">
              <w:rPr>
                <w:rStyle w:val="Strong"/>
                <w:rFonts w:ascii="Arial" w:hAnsi="Arial" w:cs="Arial"/>
                <w:lang w:val="en"/>
              </w:rPr>
              <w:t>DESIRABLE</w:t>
            </w:r>
          </w:p>
        </w:tc>
        <w:tc>
          <w:tcPr>
            <w:tcW w:w="2268" w:type="dxa"/>
          </w:tcPr>
          <w:p w14:paraId="3D7FF578" w14:textId="58FA9108" w:rsidR="005B7DE7" w:rsidRPr="00AC6F8A" w:rsidRDefault="00A300CF"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2CD23207" w:rsidR="00450364" w:rsidRPr="00AC6F8A" w:rsidRDefault="00267F0E" w:rsidP="00AC6F8A">
            <w:pPr>
              <w:rPr>
                <w:rFonts w:ascii="Arial" w:hAnsi="Arial" w:cs="Arial"/>
              </w:rPr>
            </w:pPr>
            <w:sdt>
              <w:sdtPr>
                <w:rPr>
                  <w:rFonts w:ascii="Arial" w:hAnsi="Arial" w:cs="Arial"/>
                  <w:szCs w:val="28"/>
                </w:rPr>
                <w:id w:val="749390706"/>
                <w:placeholder>
                  <w:docPart w:val="3504C0E4071245179219B0A2207D3398"/>
                </w:placeholder>
                <w:date w:fullDate="2019-05-29T00:00:00Z">
                  <w:dateFormat w:val="dd MMMM yyyy"/>
                  <w:lid w:val="en-GB"/>
                  <w:storeMappedDataAs w:val="dateTime"/>
                  <w:calendar w:val="gregorian"/>
                </w:date>
              </w:sdtPr>
              <w:sdtEndPr/>
              <w:sdtContent>
                <w:r>
                  <w:rPr>
                    <w:rFonts w:ascii="Arial" w:hAnsi="Arial" w:cs="Arial"/>
                    <w:szCs w:val="28"/>
                  </w:rPr>
                  <w:t>29 May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690A6AFD" w:rsidR="00450364" w:rsidRPr="00AC6F8A" w:rsidRDefault="00267F0E" w:rsidP="00AC6F8A">
            <w:pPr>
              <w:rPr>
                <w:rFonts w:ascii="Arial" w:hAnsi="Arial" w:cs="Arial"/>
              </w:rPr>
            </w:pPr>
            <w:r>
              <w:rPr>
                <w:rFonts w:ascii="Arial" w:hAnsi="Arial" w:cs="Arial"/>
              </w:rPr>
              <w:t>00:00</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E390D89" w:rsidR="006F2667" w:rsidRPr="00AC6F8A" w:rsidRDefault="00267F0E"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06-13T00:00:00Z">
                  <w:dateFormat w:val="dd MMMM yyyy"/>
                  <w:lid w:val="en-GB"/>
                  <w:storeMappedDataAs w:val="dateTime"/>
                  <w:calendar w:val="gregorian"/>
                </w:date>
              </w:sdtPr>
              <w:sdtEndPr/>
              <w:sdtContent>
                <w:r>
                  <w:rPr>
                    <w:rFonts w:ascii="Arial" w:hAnsi="Arial" w:cs="Arial"/>
                    <w:szCs w:val="28"/>
                  </w:rPr>
                  <w:t>13 June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170F9397"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752B86">
        <w:rPr>
          <w:rFonts w:ascii="Arial" w:hAnsi="Arial" w:cs="Arial"/>
          <w:b/>
        </w:rPr>
        <w:t>Angela Fletcher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752B86" w:rsidRPr="00752B86">
        <w:rPr>
          <w:rFonts w:ascii="Arial" w:hAnsi="Arial" w:cs="Arial"/>
          <w:b/>
        </w:rPr>
        <w:t>Angela.Fletcher@sps.pnn.gov.uk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752B86">
        <w:rPr>
          <w:rFonts w:ascii="Arial" w:hAnsi="Arial" w:cs="Arial"/>
          <w:b/>
        </w:rPr>
        <w:t>0131 330 3836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6DC93C40" w14:textId="7B17F2A0" w:rsidR="00267F0E" w:rsidRDefault="00267F0E" w:rsidP="005B7DE7">
      <w:pPr>
        <w:rPr>
          <w:rFonts w:ascii="Arial" w:hAnsi="Arial" w:cs="Arial"/>
          <w:b/>
        </w:rPr>
      </w:pPr>
    </w:p>
    <w:p w14:paraId="1F542B90" w14:textId="77777777" w:rsidR="00267F0E" w:rsidRDefault="00267F0E" w:rsidP="005B7DE7">
      <w:pPr>
        <w:rPr>
          <w:rFonts w:ascii="Arial" w:hAnsi="Arial" w:cs="Arial"/>
          <w:b/>
        </w:rPr>
      </w:pPr>
      <w:bookmarkStart w:id="0" w:name="_GoBack"/>
      <w:bookmarkEnd w:id="0"/>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207A0"/>
    <w:multiLevelType w:val="hybridMultilevel"/>
    <w:tmpl w:val="F63E4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B7C92"/>
    <w:rsid w:val="000E718A"/>
    <w:rsid w:val="001052AF"/>
    <w:rsid w:val="00141899"/>
    <w:rsid w:val="0020703D"/>
    <w:rsid w:val="00267F0E"/>
    <w:rsid w:val="002D1B46"/>
    <w:rsid w:val="00394388"/>
    <w:rsid w:val="00450364"/>
    <w:rsid w:val="00505A44"/>
    <w:rsid w:val="005B7DE7"/>
    <w:rsid w:val="006A50EA"/>
    <w:rsid w:val="006F2667"/>
    <w:rsid w:val="00736EC3"/>
    <w:rsid w:val="0074092E"/>
    <w:rsid w:val="00752B86"/>
    <w:rsid w:val="007733E2"/>
    <w:rsid w:val="007A0D8C"/>
    <w:rsid w:val="0083127C"/>
    <w:rsid w:val="0092361D"/>
    <w:rsid w:val="00964464"/>
    <w:rsid w:val="00A300CF"/>
    <w:rsid w:val="00AC6F8A"/>
    <w:rsid w:val="00AF54ED"/>
    <w:rsid w:val="00B23D2A"/>
    <w:rsid w:val="00C553CB"/>
    <w:rsid w:val="00D757C8"/>
    <w:rsid w:val="00E12180"/>
    <w:rsid w:val="00F514D3"/>
    <w:rsid w:val="00FB5429"/>
    <w:rsid w:val="00FC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F514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553C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3AE1362-2F62-44EA-9568-D93AC5708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1FC4CA-5FCB-43AC-9D06-05ED2C29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Fletcher Angela</cp:lastModifiedBy>
  <cp:revision>2</cp:revision>
  <cp:lastPrinted>2019-04-12T07:51:00Z</cp:lastPrinted>
  <dcterms:created xsi:type="dcterms:W3CDTF">2019-05-15T11:05:00Z</dcterms:created>
  <dcterms:modified xsi:type="dcterms:W3CDTF">2019-05-15T11:05:00Z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